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E278" w14:textId="77777777" w:rsidR="009C747E" w:rsidRDefault="009C747E" w:rsidP="009C747E">
      <w:bookmarkStart w:id="0" w:name="_GoBack"/>
      <w:bookmarkEnd w:id="0"/>
    </w:p>
    <w:p w14:paraId="64310EFA" w14:textId="2B6E8797" w:rsidR="009C747E" w:rsidRPr="001842D6" w:rsidRDefault="00D100BB" w:rsidP="009C747E">
      <w:pPr>
        <w:jc w:val="center"/>
        <w:rPr>
          <w:rFonts w:ascii="Garamond" w:hAnsi="Garamond"/>
          <w:b/>
          <w:smallCaps/>
          <w:sz w:val="32"/>
          <w:szCs w:val="32"/>
        </w:rPr>
      </w:pPr>
      <w:r>
        <w:rPr>
          <w:rFonts w:ascii="Garamond" w:hAnsi="Garamond"/>
          <w:b/>
          <w:smallCaps/>
          <w:sz w:val="32"/>
          <w:szCs w:val="32"/>
        </w:rPr>
        <w:t>Cartographies de</w:t>
      </w:r>
      <w:r w:rsidR="009D56DE">
        <w:rPr>
          <w:rFonts w:ascii="Garamond" w:hAnsi="Garamond"/>
          <w:b/>
          <w:smallCaps/>
          <w:sz w:val="32"/>
          <w:szCs w:val="32"/>
        </w:rPr>
        <w:t>s</w:t>
      </w:r>
      <w:r>
        <w:rPr>
          <w:rFonts w:ascii="Garamond" w:hAnsi="Garamond"/>
          <w:b/>
          <w:smallCaps/>
          <w:sz w:val="32"/>
          <w:szCs w:val="32"/>
        </w:rPr>
        <w:t xml:space="preserve"> relations</w:t>
      </w:r>
      <w:r w:rsidR="009C747E">
        <w:rPr>
          <w:rFonts w:ascii="Garamond" w:hAnsi="Garamond"/>
          <w:b/>
          <w:smallCaps/>
          <w:sz w:val="32"/>
          <w:szCs w:val="32"/>
        </w:rPr>
        <w:t xml:space="preserve">, </w:t>
      </w:r>
      <w:r>
        <w:rPr>
          <w:rFonts w:ascii="Garamond" w:hAnsi="Garamond"/>
          <w:b/>
          <w:smallCaps/>
          <w:sz w:val="32"/>
          <w:szCs w:val="32"/>
        </w:rPr>
        <w:t>expérience</w:t>
      </w:r>
      <w:r w:rsidR="009D56DE">
        <w:rPr>
          <w:rFonts w:ascii="Garamond" w:hAnsi="Garamond"/>
          <w:b/>
          <w:smallCaps/>
          <w:sz w:val="32"/>
          <w:szCs w:val="32"/>
        </w:rPr>
        <w:t>s</w:t>
      </w:r>
      <w:r>
        <w:rPr>
          <w:rFonts w:ascii="Garamond" w:hAnsi="Garamond"/>
          <w:b/>
          <w:smallCaps/>
          <w:sz w:val="32"/>
          <w:szCs w:val="32"/>
        </w:rPr>
        <w:t xml:space="preserve"> de l’espace</w:t>
      </w:r>
    </w:p>
    <w:p w14:paraId="4918708D" w14:textId="77777777" w:rsidR="009C747E" w:rsidRPr="009645AC" w:rsidRDefault="00D100BB" w:rsidP="009C747E">
      <w:pPr>
        <w:jc w:val="center"/>
        <w:rPr>
          <w:rFonts w:ascii="Garamond" w:hAnsi="Garamond"/>
          <w:smallCaps/>
          <w:sz w:val="28"/>
          <w:szCs w:val="28"/>
        </w:rPr>
      </w:pPr>
      <w:r>
        <w:rPr>
          <w:rFonts w:ascii="Garamond" w:hAnsi="Garamond"/>
          <w:smallCaps/>
          <w:sz w:val="28"/>
          <w:szCs w:val="28"/>
        </w:rPr>
        <w:t>représentations du sens en espace</w:t>
      </w:r>
      <w:r w:rsidR="009C747E" w:rsidRPr="009645AC">
        <w:rPr>
          <w:rFonts w:ascii="Garamond" w:hAnsi="Garamond"/>
          <w:smallCaps/>
          <w:sz w:val="28"/>
          <w:szCs w:val="28"/>
        </w:rPr>
        <w:t xml:space="preserve"> et </w:t>
      </w:r>
      <w:r w:rsidR="005F73BE">
        <w:rPr>
          <w:rFonts w:ascii="Garamond" w:hAnsi="Garamond"/>
          <w:smallCaps/>
          <w:sz w:val="28"/>
          <w:szCs w:val="28"/>
        </w:rPr>
        <w:t xml:space="preserve">ancrage </w:t>
      </w:r>
      <w:r w:rsidR="00624C5D">
        <w:rPr>
          <w:rFonts w:ascii="Garamond" w:hAnsi="Garamond"/>
          <w:smallCaps/>
          <w:sz w:val="28"/>
          <w:szCs w:val="28"/>
        </w:rPr>
        <w:t>spatial de la signification</w:t>
      </w:r>
    </w:p>
    <w:p w14:paraId="49A2A1FF" w14:textId="77777777" w:rsidR="009C747E" w:rsidRPr="00AA5BE8" w:rsidRDefault="009C747E" w:rsidP="009C747E"/>
    <w:p w14:paraId="7F2D8621" w14:textId="77777777" w:rsidR="009C747E" w:rsidRPr="00937541" w:rsidRDefault="009C747E" w:rsidP="009C747E">
      <w:pPr>
        <w:jc w:val="center"/>
        <w:rPr>
          <w:rFonts w:ascii="Garamond" w:hAnsi="Garamond"/>
        </w:rPr>
      </w:pPr>
      <w:r w:rsidRPr="00937541">
        <w:rPr>
          <w:rFonts w:ascii="Garamond" w:hAnsi="Garamond"/>
        </w:rPr>
        <w:t>Fondation de la Maison des Sciences de l’Homme Maison Suger</w:t>
      </w:r>
    </w:p>
    <w:p w14:paraId="107F9FAB" w14:textId="77777777" w:rsidR="009C747E" w:rsidRPr="00937541" w:rsidRDefault="009C747E" w:rsidP="009C747E">
      <w:pPr>
        <w:jc w:val="center"/>
        <w:rPr>
          <w:rFonts w:ascii="Garamond" w:hAnsi="Garamond"/>
        </w:rPr>
      </w:pPr>
      <w:r w:rsidRPr="00937541">
        <w:rPr>
          <w:rFonts w:ascii="Garamond" w:hAnsi="Garamond"/>
        </w:rPr>
        <w:t xml:space="preserve">16, rue Suger 75006 Paris (M° Odéon) </w:t>
      </w:r>
    </w:p>
    <w:p w14:paraId="1B1E7324" w14:textId="77777777" w:rsidR="009C747E" w:rsidRPr="00662DBD" w:rsidRDefault="009C747E" w:rsidP="00E92278">
      <w:pPr>
        <w:rPr>
          <w:rFonts w:ascii="Garamond" w:hAnsi="Garamond"/>
        </w:rPr>
      </w:pPr>
    </w:p>
    <w:p w14:paraId="7A33EA31" w14:textId="377C5373" w:rsidR="009C747E" w:rsidRDefault="009C747E" w:rsidP="009C747E">
      <w:pPr>
        <w:jc w:val="center"/>
        <w:rPr>
          <w:rFonts w:ascii="Garamond" w:hAnsi="Garamond"/>
        </w:rPr>
      </w:pPr>
      <w:r w:rsidRPr="00937541">
        <w:rPr>
          <w:rFonts w:ascii="Garamond" w:hAnsi="Garamond"/>
        </w:rPr>
        <w:t>Mercredi, 13h</w:t>
      </w:r>
      <w:r w:rsidR="00D100BB">
        <w:rPr>
          <w:rFonts w:ascii="Garamond" w:hAnsi="Garamond"/>
        </w:rPr>
        <w:t>45</w:t>
      </w:r>
      <w:r w:rsidRPr="00937541">
        <w:rPr>
          <w:rFonts w:ascii="Garamond" w:hAnsi="Garamond"/>
        </w:rPr>
        <w:t>-1</w:t>
      </w:r>
      <w:r w:rsidR="00D100BB">
        <w:rPr>
          <w:rFonts w:ascii="Garamond" w:hAnsi="Garamond"/>
        </w:rPr>
        <w:t>7</w:t>
      </w:r>
      <w:r w:rsidRPr="00937541">
        <w:rPr>
          <w:rFonts w:ascii="Garamond" w:hAnsi="Garamond"/>
        </w:rPr>
        <w:t>h</w:t>
      </w:r>
      <w:r w:rsidR="00D100BB">
        <w:rPr>
          <w:rFonts w:ascii="Garamond" w:hAnsi="Garamond"/>
        </w:rPr>
        <w:t>0</w:t>
      </w:r>
      <w:r w:rsidRPr="00937541">
        <w:rPr>
          <w:rFonts w:ascii="Garamond" w:hAnsi="Garamond"/>
        </w:rPr>
        <w:t>0</w:t>
      </w:r>
    </w:p>
    <w:p w14:paraId="379A32BA" w14:textId="3198DC24" w:rsidR="006B5D55" w:rsidRDefault="006B5D55" w:rsidP="009C747E">
      <w:pPr>
        <w:jc w:val="center"/>
        <w:rPr>
          <w:rFonts w:ascii="Garamond" w:hAnsi="Garamond"/>
        </w:rPr>
      </w:pPr>
    </w:p>
    <w:p w14:paraId="123B77A3" w14:textId="77777777" w:rsidR="006B5D55" w:rsidRDefault="006B5D55" w:rsidP="006B5D55">
      <w:pPr>
        <w:jc w:val="center"/>
        <w:rPr>
          <w:rFonts w:ascii="Garamond" w:hAnsi="Garamond"/>
        </w:rPr>
      </w:pPr>
      <w:r w:rsidRPr="006B5D55">
        <w:rPr>
          <w:rFonts w:ascii="Garamond" w:hAnsi="Garamond"/>
        </w:rPr>
        <w:t>Responsables pour l’année 2021-22</w:t>
      </w:r>
    </w:p>
    <w:p w14:paraId="18539BA1" w14:textId="6D2992A6" w:rsidR="006B5D55" w:rsidRPr="006B5D55" w:rsidRDefault="006B5D55" w:rsidP="006B5D55">
      <w:pPr>
        <w:jc w:val="center"/>
        <w:rPr>
          <w:rFonts w:ascii="Garamond" w:hAnsi="Garamond"/>
          <w:sz w:val="22"/>
          <w:szCs w:val="22"/>
          <w:lang w:val="it-IT"/>
        </w:rPr>
      </w:pPr>
      <w:r w:rsidRPr="006B5D55">
        <w:rPr>
          <w:rFonts w:ascii="Garamond" w:hAnsi="Garamond"/>
          <w:sz w:val="22"/>
          <w:szCs w:val="22"/>
          <w:lang w:val="it-IT"/>
        </w:rPr>
        <w:t xml:space="preserve">Pierluigi Basso </w:t>
      </w:r>
      <w:r>
        <w:rPr>
          <w:rFonts w:ascii="Garamond" w:hAnsi="Garamond"/>
          <w:sz w:val="22"/>
          <w:szCs w:val="22"/>
          <w:lang w:val="it-IT"/>
        </w:rPr>
        <w:t>Fossali</w:t>
      </w:r>
      <w:r w:rsidR="00620B74">
        <w:rPr>
          <w:rFonts w:ascii="Garamond" w:hAnsi="Garamond"/>
          <w:sz w:val="22"/>
          <w:szCs w:val="22"/>
          <w:lang w:val="it-IT"/>
        </w:rPr>
        <w:t xml:space="preserve">, </w:t>
      </w:r>
      <w:r w:rsidR="00620B74" w:rsidRPr="006B5D55">
        <w:rPr>
          <w:rFonts w:ascii="Garamond" w:hAnsi="Garamond"/>
          <w:sz w:val="22"/>
          <w:szCs w:val="22"/>
          <w:lang w:val="it-IT"/>
        </w:rPr>
        <w:t>Maria Giulia Dondero</w:t>
      </w:r>
      <w:r w:rsidR="00620B74">
        <w:rPr>
          <w:rFonts w:ascii="Garamond" w:hAnsi="Garamond"/>
          <w:sz w:val="22"/>
          <w:szCs w:val="22"/>
          <w:lang w:val="it-IT"/>
        </w:rPr>
        <w:t>,</w:t>
      </w:r>
      <w:r w:rsidR="00620B74" w:rsidRPr="006B5D55">
        <w:rPr>
          <w:rFonts w:ascii="Garamond" w:hAnsi="Garamond"/>
          <w:sz w:val="22"/>
          <w:szCs w:val="22"/>
          <w:lang w:val="it-IT"/>
        </w:rPr>
        <w:t xml:space="preserve"> </w:t>
      </w:r>
      <w:r w:rsidRPr="006B5D55">
        <w:rPr>
          <w:rFonts w:ascii="Garamond" w:hAnsi="Garamond"/>
          <w:sz w:val="22"/>
          <w:szCs w:val="22"/>
          <w:lang w:val="it-IT"/>
        </w:rPr>
        <w:t xml:space="preserve">Anne Beyaert-Geslin, </w:t>
      </w:r>
      <w:r w:rsidR="00D0650C" w:rsidRPr="006B5D55">
        <w:rPr>
          <w:rFonts w:ascii="Garamond" w:hAnsi="Garamond"/>
          <w:sz w:val="22"/>
          <w:szCs w:val="22"/>
          <w:lang w:val="it-IT"/>
        </w:rPr>
        <w:t>Marion Colas-Blaise</w:t>
      </w:r>
      <w:r w:rsidR="00D0650C">
        <w:rPr>
          <w:rFonts w:ascii="Garamond" w:hAnsi="Garamond"/>
          <w:sz w:val="22"/>
          <w:szCs w:val="22"/>
          <w:lang w:val="it-IT"/>
        </w:rPr>
        <w:t>,</w:t>
      </w:r>
      <w:r w:rsidR="00D0650C" w:rsidRPr="006B5D55">
        <w:rPr>
          <w:rFonts w:ascii="Garamond" w:hAnsi="Garamond"/>
          <w:sz w:val="22"/>
          <w:szCs w:val="22"/>
          <w:lang w:val="it-IT"/>
        </w:rPr>
        <w:t xml:space="preserve"> </w:t>
      </w:r>
    </w:p>
    <w:p w14:paraId="34AC49E5" w14:textId="77777777" w:rsidR="009C747E" w:rsidRPr="006B5D55" w:rsidRDefault="009C747E" w:rsidP="009C747E">
      <w:pPr>
        <w:rPr>
          <w:rFonts w:ascii="Garamond" w:hAnsi="Garamond"/>
          <w:lang w:val="it-IT"/>
        </w:rPr>
      </w:pPr>
    </w:p>
    <w:p w14:paraId="509BA5D7" w14:textId="77777777" w:rsidR="009C747E" w:rsidRPr="006B5D55" w:rsidRDefault="009C747E" w:rsidP="009C747E">
      <w:pPr>
        <w:jc w:val="center"/>
        <w:rPr>
          <w:rFonts w:ascii="Garamond" w:hAnsi="Garamond"/>
          <w:b/>
          <w:lang w:val="it-IT"/>
        </w:rPr>
      </w:pPr>
    </w:p>
    <w:p w14:paraId="7E36062A" w14:textId="77777777" w:rsidR="009C747E" w:rsidRDefault="009C747E" w:rsidP="009C747E">
      <w:pPr>
        <w:jc w:val="center"/>
        <w:rPr>
          <w:rFonts w:ascii="Garamond" w:hAnsi="Garamond"/>
          <w:b/>
          <w:sz w:val="28"/>
          <w:szCs w:val="28"/>
        </w:rPr>
      </w:pPr>
      <w:r w:rsidRPr="008F53CF">
        <w:rPr>
          <w:rFonts w:ascii="Garamond" w:hAnsi="Garamond"/>
          <w:b/>
          <w:sz w:val="28"/>
          <w:szCs w:val="28"/>
        </w:rPr>
        <w:t xml:space="preserve">Texte </w:t>
      </w:r>
      <w:r>
        <w:rPr>
          <w:rFonts w:ascii="Garamond" w:hAnsi="Garamond"/>
          <w:b/>
          <w:sz w:val="28"/>
          <w:szCs w:val="28"/>
        </w:rPr>
        <w:t>de présentation</w:t>
      </w:r>
    </w:p>
    <w:p w14:paraId="79976A06" w14:textId="77777777" w:rsidR="009C747E" w:rsidRDefault="009C747E" w:rsidP="009C747E">
      <w:pPr>
        <w:jc w:val="center"/>
        <w:rPr>
          <w:rFonts w:ascii="Garamond" w:hAnsi="Garamond"/>
          <w:b/>
        </w:rPr>
      </w:pPr>
    </w:p>
    <w:p w14:paraId="52D2B2FE" w14:textId="1876DAAF" w:rsidR="00624C5D" w:rsidRDefault="005F73BE" w:rsidP="00D417C4">
      <w:pPr>
        <w:spacing w:line="280" w:lineRule="atLeast"/>
        <w:jc w:val="both"/>
        <w:rPr>
          <w:rFonts w:ascii="Garamond" w:hAnsi="Garamond"/>
        </w:rPr>
      </w:pPr>
      <w:r>
        <w:rPr>
          <w:rFonts w:ascii="Garamond" w:hAnsi="Garamond"/>
        </w:rPr>
        <w:t xml:space="preserve">Le Séminaire international de sémiotique a déjà essayé de faire le point sur la sémiotique de l’espace entre 2008 et 2009 </w:t>
      </w:r>
      <w:r w:rsidR="00353D06">
        <w:rPr>
          <w:rFonts w:ascii="Garamond" w:hAnsi="Garamond"/>
        </w:rPr>
        <w:t>en travaillant sur les relations entre la spatialité perceptive et la mise en forme linguistique de l’espace selon des élaborations figuratives et narratives. Dans un premier bilan rédigé</w:t>
      </w:r>
      <w:r w:rsidR="00353D06">
        <w:rPr>
          <w:rStyle w:val="Appelnotedebasdep"/>
          <w:rFonts w:ascii="Garamond" w:hAnsi="Garamond"/>
        </w:rPr>
        <w:footnoteReference w:id="1"/>
      </w:r>
      <w:r w:rsidR="00353D06">
        <w:rPr>
          <w:rFonts w:ascii="Garamond" w:hAnsi="Garamond"/>
        </w:rPr>
        <w:t>, on a pu constater que pas mal des questions étaient encore ouvertes</w:t>
      </w:r>
      <w:r w:rsidR="002977F3">
        <w:rPr>
          <w:rFonts w:ascii="Garamond" w:hAnsi="Garamond"/>
        </w:rPr>
        <w:t>.</w:t>
      </w:r>
      <w:r w:rsidR="00854772">
        <w:rPr>
          <w:rFonts w:ascii="Garamond" w:hAnsi="Garamond"/>
        </w:rPr>
        <w:t xml:space="preserve"> </w:t>
      </w:r>
      <w:r w:rsidR="002977F3">
        <w:rPr>
          <w:rFonts w:ascii="Garamond" w:hAnsi="Garamond"/>
        </w:rPr>
        <w:t>E</w:t>
      </w:r>
      <w:r w:rsidR="00854772">
        <w:rPr>
          <w:rFonts w:ascii="Garamond" w:hAnsi="Garamond"/>
        </w:rPr>
        <w:t xml:space="preserve">n particulier, </w:t>
      </w:r>
      <w:r w:rsidR="00353D06">
        <w:rPr>
          <w:rFonts w:ascii="Garamond" w:hAnsi="Garamond"/>
        </w:rPr>
        <w:t>la significativité des transpositions entr</w:t>
      </w:r>
      <w:r w:rsidR="00854772">
        <w:rPr>
          <w:rFonts w:ascii="Garamond" w:hAnsi="Garamond"/>
        </w:rPr>
        <w:t xml:space="preserve">e expérience de l’espace et discours sur l’espace </w:t>
      </w:r>
      <w:r w:rsidR="002977F3">
        <w:rPr>
          <w:rFonts w:ascii="Garamond" w:hAnsi="Garamond"/>
        </w:rPr>
        <w:t>laissait</w:t>
      </w:r>
      <w:r w:rsidR="00854772">
        <w:rPr>
          <w:rFonts w:ascii="Garamond" w:hAnsi="Garamond"/>
        </w:rPr>
        <w:t xml:space="preserve"> encore dans l’ombre une véritable problématisation de l’espace, en dehors de celui qui est apparemment maîtrisé à travers </w:t>
      </w:r>
      <w:r w:rsidR="002977F3">
        <w:rPr>
          <w:rFonts w:ascii="Garamond" w:hAnsi="Garamond"/>
        </w:rPr>
        <w:t>la</w:t>
      </w:r>
      <w:r w:rsidR="00854772">
        <w:rPr>
          <w:rFonts w:ascii="Garamond" w:hAnsi="Garamond"/>
        </w:rPr>
        <w:t xml:space="preserve"> déclinaison figurative et </w:t>
      </w:r>
      <w:r w:rsidR="002977F3">
        <w:rPr>
          <w:rFonts w:ascii="Garamond" w:hAnsi="Garamond"/>
        </w:rPr>
        <w:t>l’</w:t>
      </w:r>
      <w:r w:rsidR="00854772">
        <w:rPr>
          <w:rFonts w:ascii="Garamond" w:hAnsi="Garamond"/>
        </w:rPr>
        <w:t xml:space="preserve">économie propre à </w:t>
      </w:r>
      <w:r w:rsidR="0066219C">
        <w:rPr>
          <w:rFonts w:ascii="Garamond" w:hAnsi="Garamond"/>
        </w:rPr>
        <w:t xml:space="preserve">un </w:t>
      </w:r>
      <w:r w:rsidR="00854772">
        <w:rPr>
          <w:rFonts w:ascii="Garamond" w:hAnsi="Garamond"/>
        </w:rPr>
        <w:t xml:space="preserve">monde possible </w:t>
      </w:r>
      <w:r w:rsidR="005D2CE3">
        <w:rPr>
          <w:rFonts w:ascii="Garamond" w:hAnsi="Garamond"/>
        </w:rPr>
        <w:t>élaboré</w:t>
      </w:r>
      <w:r w:rsidR="002977F3">
        <w:rPr>
          <w:rFonts w:ascii="Garamond" w:hAnsi="Garamond"/>
        </w:rPr>
        <w:t xml:space="preserve"> textuellement</w:t>
      </w:r>
      <w:r w:rsidR="00854772">
        <w:rPr>
          <w:rFonts w:ascii="Garamond" w:hAnsi="Garamond"/>
        </w:rPr>
        <w:t xml:space="preserve">. </w:t>
      </w:r>
      <w:r w:rsidR="002977F3">
        <w:rPr>
          <w:rFonts w:ascii="Garamond" w:hAnsi="Garamond"/>
        </w:rPr>
        <w:t>En effet, l</w:t>
      </w:r>
      <w:r w:rsidR="00854772">
        <w:rPr>
          <w:rFonts w:ascii="Garamond" w:hAnsi="Garamond"/>
        </w:rPr>
        <w:t xml:space="preserve">’espace textuel </w:t>
      </w:r>
      <w:r w:rsidR="00854772">
        <w:rPr>
          <w:rFonts w:ascii="Garamond" w:hAnsi="Garamond"/>
        </w:rPr>
        <w:lastRenderedPageBreak/>
        <w:t>ne peut pas être</w:t>
      </w:r>
      <w:r w:rsidR="002977F3">
        <w:rPr>
          <w:rFonts w:ascii="Garamond" w:hAnsi="Garamond"/>
        </w:rPr>
        <w:t xml:space="preserve"> conçu comme</w:t>
      </w:r>
      <w:r w:rsidR="00854772">
        <w:rPr>
          <w:rFonts w:ascii="Garamond" w:hAnsi="Garamond"/>
        </w:rPr>
        <w:t xml:space="preserve"> une construction unilatérale</w:t>
      </w:r>
      <w:r w:rsidR="0098428F">
        <w:rPr>
          <w:rFonts w:ascii="Garamond" w:hAnsi="Garamond"/>
        </w:rPr>
        <w:t> :</w:t>
      </w:r>
      <w:r w:rsidR="00854772">
        <w:rPr>
          <w:rFonts w:ascii="Garamond" w:hAnsi="Garamond"/>
        </w:rPr>
        <w:t xml:space="preserve"> la structuration d’un site comme ancrage d’une pratique énonciative relève nécessairement d’une série de relations dialogiques</w:t>
      </w:r>
      <w:r w:rsidR="0066219C">
        <w:rPr>
          <w:rFonts w:ascii="Garamond" w:hAnsi="Garamond"/>
        </w:rPr>
        <w:t>.</w:t>
      </w:r>
      <w:r w:rsidR="00854772">
        <w:rPr>
          <w:rFonts w:ascii="Garamond" w:hAnsi="Garamond"/>
        </w:rPr>
        <w:t xml:space="preserve"> </w:t>
      </w:r>
      <w:r w:rsidR="0066219C">
        <w:rPr>
          <w:rFonts w:ascii="Garamond" w:hAnsi="Garamond"/>
        </w:rPr>
        <w:t>L</w:t>
      </w:r>
      <w:r w:rsidR="00854772">
        <w:rPr>
          <w:rFonts w:ascii="Garamond" w:hAnsi="Garamond"/>
        </w:rPr>
        <w:t>’espace pratique se définit au fur et à mesure que l’on apprécie la dialectique modale entre les actes et les réactions</w:t>
      </w:r>
      <w:r w:rsidR="005D2CE3">
        <w:rPr>
          <w:rFonts w:ascii="Garamond" w:hAnsi="Garamond"/>
        </w:rPr>
        <w:t xml:space="preserve"> de l’entour</w:t>
      </w:r>
      <w:r w:rsidR="002977F3">
        <w:rPr>
          <w:rFonts w:ascii="Garamond" w:hAnsi="Garamond"/>
        </w:rPr>
        <w:t>, et</w:t>
      </w:r>
      <w:r w:rsidR="00854772">
        <w:rPr>
          <w:rFonts w:ascii="Garamond" w:hAnsi="Garamond"/>
        </w:rPr>
        <w:t xml:space="preserve"> même l’espace mis en discours semble</w:t>
      </w:r>
      <w:r w:rsidR="00986C0A">
        <w:rPr>
          <w:rFonts w:ascii="Garamond" w:hAnsi="Garamond"/>
        </w:rPr>
        <w:t xml:space="preserve"> souvent</w:t>
      </w:r>
      <w:r w:rsidR="00854772">
        <w:rPr>
          <w:rFonts w:ascii="Garamond" w:hAnsi="Garamond"/>
        </w:rPr>
        <w:t xml:space="preserve"> </w:t>
      </w:r>
      <w:r w:rsidR="00986C0A">
        <w:rPr>
          <w:rFonts w:ascii="Garamond" w:hAnsi="Garamond"/>
        </w:rPr>
        <w:t>échapper à des saisies stables et objectivable</w:t>
      </w:r>
      <w:r w:rsidR="0066219C">
        <w:rPr>
          <w:rFonts w:ascii="Garamond" w:hAnsi="Garamond"/>
        </w:rPr>
        <w:t>s</w:t>
      </w:r>
      <w:r w:rsidR="00986C0A">
        <w:rPr>
          <w:rFonts w:ascii="Garamond" w:hAnsi="Garamond"/>
        </w:rPr>
        <w:t xml:space="preserve"> (mise en perspective) au profit d’un environnement à la fois perméable et sinueux, atmosphérique et débordant.</w:t>
      </w:r>
      <w:r w:rsidR="00624C5D">
        <w:rPr>
          <w:rFonts w:ascii="Garamond" w:hAnsi="Garamond"/>
        </w:rPr>
        <w:t xml:space="preserve"> </w:t>
      </w:r>
    </w:p>
    <w:p w14:paraId="78298AE5" w14:textId="561CDB63" w:rsidR="005F73BE" w:rsidRDefault="00624C5D" w:rsidP="00D417C4">
      <w:pPr>
        <w:spacing w:line="280" w:lineRule="atLeast"/>
        <w:jc w:val="both"/>
        <w:rPr>
          <w:rFonts w:ascii="Garamond" w:hAnsi="Garamond"/>
        </w:rPr>
      </w:pPr>
      <w:r>
        <w:rPr>
          <w:rFonts w:ascii="Garamond" w:hAnsi="Garamond"/>
        </w:rPr>
        <w:t>Les conclusions des séminaires 2008-09 indiquaient alors (</w:t>
      </w:r>
      <w:r w:rsidR="005F73BE" w:rsidRPr="005F73BE">
        <w:rPr>
          <w:rFonts w:ascii="Garamond" w:hAnsi="Garamond"/>
        </w:rPr>
        <w:t xml:space="preserve">1) </w:t>
      </w:r>
      <w:r w:rsidR="000B3151">
        <w:rPr>
          <w:rFonts w:ascii="Garamond" w:hAnsi="Garamond"/>
        </w:rPr>
        <w:t xml:space="preserve">que </w:t>
      </w:r>
      <w:r w:rsidR="005F73BE" w:rsidRPr="005F73BE">
        <w:rPr>
          <w:rFonts w:ascii="Garamond" w:hAnsi="Garamond"/>
        </w:rPr>
        <w:t>la spatialité</w:t>
      </w:r>
      <w:r>
        <w:rPr>
          <w:rFonts w:ascii="Garamond" w:hAnsi="Garamond"/>
        </w:rPr>
        <w:t xml:space="preserve"> ne peut pas être traitée comme une évidence ;</w:t>
      </w:r>
      <w:r w:rsidR="005F73BE" w:rsidRPr="005F73BE">
        <w:rPr>
          <w:rFonts w:ascii="Garamond" w:hAnsi="Garamond"/>
        </w:rPr>
        <w:t xml:space="preserve"> (2) </w:t>
      </w:r>
      <w:r>
        <w:rPr>
          <w:rFonts w:ascii="Garamond" w:hAnsi="Garamond"/>
        </w:rPr>
        <w:t>que la</w:t>
      </w:r>
      <w:r w:rsidR="005F73BE" w:rsidRPr="005F73BE">
        <w:rPr>
          <w:rFonts w:ascii="Garamond" w:hAnsi="Garamond"/>
        </w:rPr>
        <w:t xml:space="preserve"> générativité </w:t>
      </w:r>
      <w:r>
        <w:rPr>
          <w:rFonts w:ascii="Garamond" w:hAnsi="Garamond"/>
        </w:rPr>
        <w:t>des espaces (sensoriel, perceptif, énonciatif, énoncé, pratique, institutionnel, etc.) se présente moins comme une suite de transformation</w:t>
      </w:r>
      <w:r w:rsidR="0066219C">
        <w:rPr>
          <w:rFonts w:ascii="Garamond" w:hAnsi="Garamond"/>
        </w:rPr>
        <w:t>s</w:t>
      </w:r>
      <w:r>
        <w:rPr>
          <w:rFonts w:ascii="Garamond" w:hAnsi="Garamond"/>
        </w:rPr>
        <w:t xml:space="preserve"> à partir d’une origine que comme un circuit de constitutions</w:t>
      </w:r>
      <w:r w:rsidR="005F73BE" w:rsidRPr="005F73BE">
        <w:rPr>
          <w:rFonts w:ascii="Garamond" w:hAnsi="Garamond"/>
        </w:rPr>
        <w:t xml:space="preserve">, (3) </w:t>
      </w:r>
      <w:r>
        <w:rPr>
          <w:rFonts w:ascii="Garamond" w:hAnsi="Garamond"/>
        </w:rPr>
        <w:t>que nous sommes face le plus souvent à une</w:t>
      </w:r>
      <w:r w:rsidR="005F73BE" w:rsidRPr="005F73BE">
        <w:rPr>
          <w:rFonts w:ascii="Garamond" w:hAnsi="Garamond"/>
        </w:rPr>
        <w:t xml:space="preserve"> flexibilité et </w:t>
      </w:r>
      <w:r>
        <w:rPr>
          <w:rFonts w:ascii="Garamond" w:hAnsi="Garamond"/>
        </w:rPr>
        <w:t xml:space="preserve">une </w:t>
      </w:r>
      <w:r w:rsidR="005F73BE" w:rsidRPr="005F73BE">
        <w:rPr>
          <w:rFonts w:ascii="Garamond" w:hAnsi="Garamond"/>
        </w:rPr>
        <w:t>instabilité de l’espace comme signification</w:t>
      </w:r>
      <w:r>
        <w:rPr>
          <w:rFonts w:ascii="Garamond" w:hAnsi="Garamond"/>
        </w:rPr>
        <w:t>.</w:t>
      </w:r>
    </w:p>
    <w:p w14:paraId="6CC25E1D" w14:textId="639505F5" w:rsidR="00886D84" w:rsidRDefault="00624C5D" w:rsidP="00D417C4">
      <w:pPr>
        <w:spacing w:line="280" w:lineRule="atLeast"/>
        <w:jc w:val="both"/>
        <w:rPr>
          <w:rFonts w:ascii="Garamond" w:hAnsi="Garamond"/>
        </w:rPr>
      </w:pPr>
      <w:r>
        <w:rPr>
          <w:rFonts w:ascii="Garamond" w:hAnsi="Garamond"/>
        </w:rPr>
        <w:t xml:space="preserve">Il nous semble opportun de reprendre ces interrogations et les transformer dans un nouveau projet de recherche collective qui puisse tenir compte des avancements théoriques produits </w:t>
      </w:r>
      <w:r w:rsidR="0066219C">
        <w:rPr>
          <w:rFonts w:ascii="Garamond" w:hAnsi="Garamond"/>
        </w:rPr>
        <w:t>c</w:t>
      </w:r>
      <w:r>
        <w:rPr>
          <w:rFonts w:ascii="Garamond" w:hAnsi="Garamond"/>
        </w:rPr>
        <w:t xml:space="preserve">es dernières années et </w:t>
      </w:r>
      <w:r w:rsidR="00886D84">
        <w:rPr>
          <w:rFonts w:ascii="Garamond" w:hAnsi="Garamond"/>
        </w:rPr>
        <w:t>d’une sensibilisation majeure pour les réflexions écologiques</w:t>
      </w:r>
      <w:r w:rsidR="00CC5C9F">
        <w:rPr>
          <w:rFonts w:ascii="Garamond" w:hAnsi="Garamond"/>
        </w:rPr>
        <w:t xml:space="preserve"> (voir les éditions plus récentes de notre séminaire)</w:t>
      </w:r>
      <w:r w:rsidR="00886D84">
        <w:rPr>
          <w:rFonts w:ascii="Garamond" w:hAnsi="Garamond"/>
        </w:rPr>
        <w:t>. Ce projet s’accompagne aussi d’une proposition méthodologique, celle de commencer nos travaux par la</w:t>
      </w:r>
      <w:r w:rsidR="00886D84" w:rsidRPr="00886D84">
        <w:rPr>
          <w:rFonts w:ascii="Garamond" w:hAnsi="Garamond"/>
        </w:rPr>
        <w:t xml:space="preserve"> réalisation d’une cartographie des perspectives que la sémiotique a utilisées pour aborder une théorie et une analyse de l’espace (topologies, topiques narratives, univers figuratifs, présence et deixis, espace d’implémentation, etc.). </w:t>
      </w:r>
      <w:r w:rsidR="00886D84">
        <w:rPr>
          <w:rFonts w:ascii="Garamond" w:hAnsi="Garamond"/>
        </w:rPr>
        <w:t xml:space="preserve">L’idée est de construire notre recherche collective à partir d’un état de l’art, qui sera alors distribué sur plusieurs séances, chaque intervention devant idéalement nous inviter à relire aussi des travaux qui ont déjà donné des contributions heuristiques importantes. </w:t>
      </w:r>
    </w:p>
    <w:p w14:paraId="77A1602A" w14:textId="77777777" w:rsidR="00B51613" w:rsidRDefault="00B51613" w:rsidP="00D417C4">
      <w:pPr>
        <w:spacing w:line="280" w:lineRule="atLeast"/>
        <w:jc w:val="both"/>
        <w:rPr>
          <w:rFonts w:ascii="Garamond" w:hAnsi="Garamond"/>
        </w:rPr>
      </w:pPr>
      <w:r>
        <w:rPr>
          <w:rFonts w:ascii="Garamond" w:hAnsi="Garamond"/>
        </w:rPr>
        <w:t>Pour construire le programme, nous avons retenu deux critères fondamentaux : (i) des espaces différenciés selon des approches épistémologiques (espace de modélisation, espace praxéologique, espace discursif, espace d’implémentation, espace de présence, environnement, etc.) ; (ii) des espaces-occurrences dont la complexité peut nous solliciter, pendant leur description, la réarticulation entre les plans de la théorie</w:t>
      </w:r>
      <w:r w:rsidR="005D2CE3">
        <w:rPr>
          <w:rFonts w:ascii="Garamond" w:hAnsi="Garamond"/>
        </w:rPr>
        <w:t xml:space="preserve"> (par ex. l’installation artistique)</w:t>
      </w:r>
      <w:r>
        <w:rPr>
          <w:rFonts w:ascii="Garamond" w:hAnsi="Garamond"/>
        </w:rPr>
        <w:t xml:space="preserve">. </w:t>
      </w:r>
    </w:p>
    <w:p w14:paraId="04F31F2D" w14:textId="77777777" w:rsidR="00DB44E7" w:rsidRDefault="00B51613" w:rsidP="00D417C4">
      <w:pPr>
        <w:spacing w:line="280" w:lineRule="atLeast"/>
        <w:jc w:val="both"/>
        <w:rPr>
          <w:rFonts w:ascii="Garamond" w:hAnsi="Garamond"/>
        </w:rPr>
      </w:pPr>
      <w:r>
        <w:rPr>
          <w:rFonts w:ascii="Garamond" w:hAnsi="Garamond"/>
        </w:rPr>
        <w:lastRenderedPageBreak/>
        <w:t xml:space="preserve">Sur le plan thématique, nous voulons suggérer de prendre en compte la coprésence paradoxale de deux tendances : </w:t>
      </w:r>
    </w:p>
    <w:p w14:paraId="7DFFB4D2" w14:textId="324E6474" w:rsidR="00F47977" w:rsidRPr="00F47977" w:rsidRDefault="00B51613" w:rsidP="00D417C4">
      <w:pPr>
        <w:pStyle w:val="Paragraphedeliste"/>
        <w:numPr>
          <w:ilvl w:val="0"/>
          <w:numId w:val="2"/>
        </w:numPr>
        <w:spacing w:line="280" w:lineRule="atLeast"/>
        <w:jc w:val="both"/>
        <w:rPr>
          <w:rFonts w:ascii="Garamond" w:hAnsi="Garamond"/>
        </w:rPr>
      </w:pPr>
      <w:r w:rsidRPr="00F47977">
        <w:rPr>
          <w:rFonts w:ascii="Garamond" w:hAnsi="Garamond"/>
        </w:rPr>
        <w:t>la première procède à une virtualisation progressive de l’espace, avec la compénétration de plusieurs contextes de référence (pratiques interactionnelles en distanciel</w:t>
      </w:r>
      <w:r w:rsidR="00DB44E7" w:rsidRPr="00F47977">
        <w:rPr>
          <w:rFonts w:ascii="Garamond" w:hAnsi="Garamond"/>
        </w:rPr>
        <w:t>, multiplication des écrans</w:t>
      </w:r>
      <w:r w:rsidRPr="00F47977">
        <w:rPr>
          <w:rFonts w:ascii="Garamond" w:hAnsi="Garamond"/>
        </w:rPr>
        <w:t>)</w:t>
      </w:r>
      <w:r w:rsidR="00DB44E7" w:rsidRPr="00F47977">
        <w:rPr>
          <w:rFonts w:ascii="Garamond" w:hAnsi="Garamond"/>
        </w:rPr>
        <w:t>, l’</w:t>
      </w:r>
      <w:r w:rsidR="00CC5C9F">
        <w:rPr>
          <w:rFonts w:ascii="Garamond" w:hAnsi="Garamond"/>
        </w:rPr>
        <w:t>“</w:t>
      </w:r>
      <w:r w:rsidR="00DB44E7" w:rsidRPr="00F47977">
        <w:rPr>
          <w:rFonts w:ascii="Garamond" w:hAnsi="Garamond"/>
        </w:rPr>
        <w:t>augmentation</w:t>
      </w:r>
      <w:r w:rsidR="00CC5C9F">
        <w:rPr>
          <w:rFonts w:ascii="Garamond" w:hAnsi="Garamond"/>
        </w:rPr>
        <w:t>”</w:t>
      </w:r>
      <w:r w:rsidR="00DB44E7" w:rsidRPr="00F47977">
        <w:rPr>
          <w:rFonts w:ascii="Garamond" w:hAnsi="Garamond"/>
        </w:rPr>
        <w:t xml:space="preserve"> numérique des propriétés des objets, la conversion des pratiques collectives en visualisations de </w:t>
      </w:r>
      <w:r w:rsidR="00DB44E7" w:rsidRPr="00F47977">
        <w:rPr>
          <w:rFonts w:ascii="Garamond" w:hAnsi="Garamond"/>
          <w:i/>
        </w:rPr>
        <w:t>big data</w:t>
      </w:r>
      <w:r w:rsidR="00DB44E7" w:rsidRPr="00F47977">
        <w:rPr>
          <w:rFonts w:ascii="Garamond" w:hAnsi="Garamond"/>
        </w:rPr>
        <w:t>. La cartographie cognitive (</w:t>
      </w:r>
      <w:r w:rsidR="00DB44E7" w:rsidRPr="00F47977">
        <w:rPr>
          <w:rFonts w:ascii="Garamond" w:hAnsi="Garamond"/>
          <w:i/>
        </w:rPr>
        <w:t>cognitive mapping</w:t>
      </w:r>
      <w:r w:rsidR="00DB44E7" w:rsidRPr="00F47977">
        <w:rPr>
          <w:rFonts w:ascii="Garamond" w:hAnsi="Garamond"/>
        </w:rPr>
        <w:t>) de l’espace de vie</w:t>
      </w:r>
      <w:r w:rsidR="00E70289">
        <w:rPr>
          <w:rFonts w:ascii="Garamond" w:hAnsi="Garamond"/>
        </w:rPr>
        <w:t>,</w:t>
      </w:r>
      <w:r w:rsidR="00DB44E7" w:rsidRPr="00F47977">
        <w:rPr>
          <w:rFonts w:ascii="Garamond" w:hAnsi="Garamond"/>
        </w:rPr>
        <w:t xml:space="preserve"> développée par les acteurs sociaux</w:t>
      </w:r>
      <w:r w:rsidR="00E70289">
        <w:rPr>
          <w:rFonts w:ascii="Garamond" w:hAnsi="Garamond"/>
        </w:rPr>
        <w:t>,</w:t>
      </w:r>
      <w:r w:rsidR="00DB44E7" w:rsidRPr="00F47977">
        <w:rPr>
          <w:rFonts w:ascii="Garamond" w:hAnsi="Garamond"/>
        </w:rPr>
        <w:t xml:space="preserve"> donne lieu de plus en plus à une épisémiotique des topiques existentielles</w:t>
      </w:r>
      <w:r w:rsidR="00E70289">
        <w:rPr>
          <w:rFonts w:ascii="Garamond" w:hAnsi="Garamond"/>
        </w:rPr>
        <w:t>,</w:t>
      </w:r>
      <w:r w:rsidR="00DB44E7" w:rsidRPr="00F47977">
        <w:rPr>
          <w:rFonts w:ascii="Garamond" w:hAnsi="Garamond"/>
        </w:rPr>
        <w:t xml:space="preserve"> </w:t>
      </w:r>
      <w:r w:rsidR="00E70289">
        <w:rPr>
          <w:rFonts w:ascii="Garamond" w:hAnsi="Garamond"/>
        </w:rPr>
        <w:t>dans lesquelles</w:t>
      </w:r>
      <w:r w:rsidR="00DB44E7" w:rsidRPr="00F47977">
        <w:rPr>
          <w:rFonts w:ascii="Garamond" w:hAnsi="Garamond"/>
        </w:rPr>
        <w:t xml:space="preserve"> les systèmes d’orientation et de détection sont couplés </w:t>
      </w:r>
      <w:r w:rsidR="00C8636E">
        <w:rPr>
          <w:rFonts w:ascii="Garamond" w:hAnsi="Garamond"/>
        </w:rPr>
        <w:t>avec</w:t>
      </w:r>
      <w:r w:rsidR="00DB44E7" w:rsidRPr="00F47977">
        <w:rPr>
          <w:rFonts w:ascii="Garamond" w:hAnsi="Garamond"/>
        </w:rPr>
        <w:t xml:space="preserve"> des instruments, des médiations numériques, en constituant </w:t>
      </w:r>
      <w:r w:rsidR="00C8636E">
        <w:rPr>
          <w:rFonts w:ascii="Garamond" w:hAnsi="Garamond"/>
        </w:rPr>
        <w:t xml:space="preserve">ainsi </w:t>
      </w:r>
      <w:r w:rsidR="00DB44E7" w:rsidRPr="00F47977">
        <w:rPr>
          <w:rFonts w:ascii="Garamond" w:hAnsi="Garamond"/>
        </w:rPr>
        <w:t>des modélisations, voire de véritables théories de l’espace. Ainsi, les imaginaires spatiaux reçoivent aujourd’hui un plan de l’expression</w:t>
      </w:r>
      <w:r w:rsidR="00F47977" w:rsidRPr="00F47977">
        <w:rPr>
          <w:rFonts w:ascii="Garamond" w:hAnsi="Garamond"/>
        </w:rPr>
        <w:t xml:space="preserve">, en ouvrant </w:t>
      </w:r>
      <w:r w:rsidR="00E70289">
        <w:rPr>
          <w:rFonts w:ascii="Garamond" w:hAnsi="Garamond"/>
        </w:rPr>
        <w:t xml:space="preserve">ainsi </w:t>
      </w:r>
      <w:r w:rsidR="00F47977" w:rsidRPr="00F47977">
        <w:rPr>
          <w:rFonts w:ascii="Garamond" w:hAnsi="Garamond"/>
        </w:rPr>
        <w:t>à une anthropo-sémiotique de l’espace qui peut réinterroger la relation entre les espaces de représentation de la théorie et les espaces diagrammatiques à travers lesquels la cartographie mentale des acteurs cherche à gérer un espace expérientiel de plus en plus pluralisé et virtualisé</w:t>
      </w:r>
      <w:r w:rsidR="00E70289">
        <w:rPr>
          <w:rStyle w:val="Appelnotedebasdep"/>
          <w:rFonts w:ascii="Garamond" w:hAnsi="Garamond"/>
        </w:rPr>
        <w:footnoteReference w:id="2"/>
      </w:r>
      <w:r w:rsidR="00F47977">
        <w:rPr>
          <w:rFonts w:ascii="Garamond" w:hAnsi="Garamond"/>
        </w:rPr>
        <w:t> ;</w:t>
      </w:r>
    </w:p>
    <w:p w14:paraId="55C8D453" w14:textId="6103C590" w:rsidR="00B51613" w:rsidRDefault="00F47977" w:rsidP="00D417C4">
      <w:pPr>
        <w:pStyle w:val="Paragraphedeliste"/>
        <w:numPr>
          <w:ilvl w:val="0"/>
          <w:numId w:val="2"/>
        </w:numPr>
        <w:spacing w:line="280" w:lineRule="atLeast"/>
        <w:jc w:val="both"/>
        <w:rPr>
          <w:rFonts w:ascii="Garamond" w:hAnsi="Garamond"/>
        </w:rPr>
      </w:pPr>
      <w:r w:rsidRPr="00B57D29">
        <w:rPr>
          <w:rFonts w:ascii="Garamond" w:hAnsi="Garamond"/>
        </w:rPr>
        <w:t xml:space="preserve">la deuxième tendance concerne le paradigme écologique, dans lequel l’espace est convoqué comme niche à laquelle notre vie est couplée. À la représentation écranique (visualisation), au caractère immatériel d’un espace </w:t>
      </w:r>
      <w:r w:rsidR="00B57D29" w:rsidRPr="00B57D29">
        <w:rPr>
          <w:rFonts w:ascii="Garamond" w:hAnsi="Garamond"/>
        </w:rPr>
        <w:t xml:space="preserve">cognitif s’oppose alors la thématisation de l’ancrage, les implications modales </w:t>
      </w:r>
      <w:r w:rsidR="00CC5C9F">
        <w:rPr>
          <w:rFonts w:ascii="Garamond" w:hAnsi="Garamond"/>
        </w:rPr>
        <w:t>liées au</w:t>
      </w:r>
      <w:r w:rsidR="00B57D29" w:rsidRPr="00B57D29">
        <w:rPr>
          <w:rFonts w:ascii="Garamond" w:hAnsi="Garamond"/>
        </w:rPr>
        <w:t xml:space="preserve"> fait d’habiter l’espace, le monitorage intégrateur des connexions vitales (Gaïa). Encore une fois, on peut constater que les modèles de la théorie peuvent entrer dans une relation dialogique avec ses paradigmes écologiques</w:t>
      </w:r>
      <w:r w:rsidR="00CC5C9F">
        <w:rPr>
          <w:rFonts w:ascii="Garamond" w:hAnsi="Garamond"/>
        </w:rPr>
        <w:t> ;</w:t>
      </w:r>
      <w:r w:rsidR="00B57D29" w:rsidRPr="00B57D29">
        <w:rPr>
          <w:rFonts w:ascii="Garamond" w:hAnsi="Garamond"/>
        </w:rPr>
        <w:t xml:space="preserve"> </w:t>
      </w:r>
      <w:r w:rsidR="00B57D29">
        <w:rPr>
          <w:rFonts w:ascii="Garamond" w:hAnsi="Garamond"/>
        </w:rPr>
        <w:t xml:space="preserve">ils acceptent </w:t>
      </w:r>
      <w:r w:rsidR="00CC5C9F">
        <w:rPr>
          <w:rFonts w:ascii="Garamond" w:hAnsi="Garamond"/>
        </w:rPr>
        <w:t xml:space="preserve">alors </w:t>
      </w:r>
      <w:r w:rsidR="00B57D29">
        <w:rPr>
          <w:rFonts w:ascii="Garamond" w:hAnsi="Garamond"/>
        </w:rPr>
        <w:t xml:space="preserve">d’héberger une hétérogénéité majeure, de sortir d’une visualisation par plans descriptifs au profit de la prise </w:t>
      </w:r>
      <w:r w:rsidR="00A54198">
        <w:rPr>
          <w:rFonts w:ascii="Garamond" w:hAnsi="Garamond"/>
        </w:rPr>
        <w:t xml:space="preserve">en compte </w:t>
      </w:r>
      <w:r w:rsidR="00B57D29">
        <w:rPr>
          <w:rFonts w:ascii="Garamond" w:hAnsi="Garamond"/>
        </w:rPr>
        <w:t xml:space="preserve">de couplages, compénétrations, </w:t>
      </w:r>
      <w:r w:rsidR="00A54198">
        <w:rPr>
          <w:rFonts w:ascii="Garamond" w:hAnsi="Garamond"/>
        </w:rPr>
        <w:t>circuits</w:t>
      </w:r>
      <w:r w:rsidR="00CC5C9F">
        <w:rPr>
          <w:rFonts w:ascii="Garamond" w:hAnsi="Garamond"/>
        </w:rPr>
        <w:t> ;</w:t>
      </w:r>
      <w:r w:rsidR="00A54198">
        <w:rPr>
          <w:rFonts w:ascii="Garamond" w:hAnsi="Garamond"/>
        </w:rPr>
        <w:t xml:space="preserve"> l’espace même relève</w:t>
      </w:r>
      <w:r w:rsidR="00CC5C9F">
        <w:rPr>
          <w:rFonts w:ascii="Garamond" w:hAnsi="Garamond"/>
        </w:rPr>
        <w:t>rait</w:t>
      </w:r>
      <w:r w:rsidR="00A54198">
        <w:rPr>
          <w:rFonts w:ascii="Garamond" w:hAnsi="Garamond"/>
        </w:rPr>
        <w:t xml:space="preserve"> d’une morphogène</w:t>
      </w:r>
      <w:r w:rsidR="000B3151">
        <w:rPr>
          <w:rFonts w:ascii="Garamond" w:hAnsi="Garamond"/>
        </w:rPr>
        <w:t>se</w:t>
      </w:r>
      <w:r w:rsidR="00A54198">
        <w:rPr>
          <w:rFonts w:ascii="Garamond" w:hAnsi="Garamond"/>
        </w:rPr>
        <w:t xml:space="preserve"> </w:t>
      </w:r>
      <w:r w:rsidR="00CC5C9F">
        <w:rPr>
          <w:rFonts w:ascii="Garamond" w:hAnsi="Garamond"/>
        </w:rPr>
        <w:t>caractérisée par</w:t>
      </w:r>
      <w:r w:rsidR="00A54198">
        <w:rPr>
          <w:rFonts w:ascii="Garamond" w:hAnsi="Garamond"/>
        </w:rPr>
        <w:t xml:space="preserve"> des seuils </w:t>
      </w:r>
      <w:r w:rsidR="00A54198">
        <w:rPr>
          <w:rFonts w:ascii="Garamond" w:hAnsi="Garamond"/>
        </w:rPr>
        <w:lastRenderedPageBreak/>
        <w:t xml:space="preserve">qualitatifs </w:t>
      </w:r>
      <w:r w:rsidR="00CC5C9F">
        <w:rPr>
          <w:rFonts w:ascii="Garamond" w:hAnsi="Garamond"/>
        </w:rPr>
        <w:t>et par</w:t>
      </w:r>
      <w:r w:rsidR="00A54198">
        <w:rPr>
          <w:rFonts w:ascii="Garamond" w:hAnsi="Garamond"/>
        </w:rPr>
        <w:t xml:space="preserve"> </w:t>
      </w:r>
      <w:r w:rsidR="00CC5C9F">
        <w:rPr>
          <w:rFonts w:ascii="Garamond" w:hAnsi="Garamond"/>
        </w:rPr>
        <w:t>des</w:t>
      </w:r>
      <w:r w:rsidR="00A54198">
        <w:rPr>
          <w:rFonts w:ascii="Garamond" w:hAnsi="Garamond"/>
        </w:rPr>
        <w:t xml:space="preserve"> synthèses</w:t>
      </w:r>
      <w:r w:rsidR="00CC5C9F">
        <w:rPr>
          <w:rFonts w:ascii="Garamond" w:hAnsi="Garamond"/>
        </w:rPr>
        <w:t xml:space="preserve"> qui</w:t>
      </w:r>
      <w:r w:rsidR="00A54198">
        <w:rPr>
          <w:rFonts w:ascii="Garamond" w:hAnsi="Garamond"/>
        </w:rPr>
        <w:t xml:space="preserve"> ne peuvent pas être réduit</w:t>
      </w:r>
      <w:r w:rsidR="00CC5C9F">
        <w:rPr>
          <w:rFonts w:ascii="Garamond" w:hAnsi="Garamond"/>
        </w:rPr>
        <w:t>s</w:t>
      </w:r>
      <w:r w:rsidR="00A54198">
        <w:rPr>
          <w:rFonts w:ascii="Garamond" w:hAnsi="Garamond"/>
        </w:rPr>
        <w:t xml:space="preserve"> aux formes spatiales précédentes. </w:t>
      </w:r>
    </w:p>
    <w:p w14:paraId="14864DB2" w14:textId="77777777" w:rsidR="00A54198" w:rsidRDefault="00A54198" w:rsidP="00D417C4">
      <w:pPr>
        <w:spacing w:line="280" w:lineRule="atLeast"/>
        <w:jc w:val="both"/>
        <w:rPr>
          <w:rFonts w:ascii="Garamond" w:hAnsi="Garamond"/>
        </w:rPr>
      </w:pPr>
    </w:p>
    <w:p w14:paraId="7F5F5B76" w14:textId="77777777" w:rsidR="00CC5C9F" w:rsidRDefault="00A54198" w:rsidP="00D417C4">
      <w:pPr>
        <w:spacing w:line="280" w:lineRule="atLeast"/>
        <w:jc w:val="both"/>
        <w:rPr>
          <w:rFonts w:ascii="Garamond" w:hAnsi="Garamond"/>
        </w:rPr>
      </w:pPr>
      <w:r>
        <w:rPr>
          <w:rFonts w:ascii="Garamond" w:hAnsi="Garamond"/>
        </w:rPr>
        <w:t xml:space="preserve">Une culture de l’espace ne peut que créer des résonances entre iconisations de la théorie et thématisations de l’espace vécu, les médiations sémiotiques et les élaborations discursives témoignant largement de cette </w:t>
      </w:r>
      <w:r w:rsidRPr="00E70289">
        <w:rPr>
          <w:rFonts w:ascii="Garamond" w:hAnsi="Garamond"/>
          <w:i/>
        </w:rPr>
        <w:t>épistémè</w:t>
      </w:r>
      <w:r>
        <w:rPr>
          <w:rFonts w:ascii="Garamond" w:hAnsi="Garamond"/>
        </w:rPr>
        <w:t xml:space="preserve"> traversée naturellement par des accords et des conflits, des convergences et des démarquages. À ce propos, l’exemplification de l’opposition entre deux tendances générales ne veut pas avoir une valeur diagnostique ou heuristique, mais seulement suggérer une ligne de recherche qui consiste </w:t>
      </w:r>
      <w:r w:rsidR="00D16B9C">
        <w:rPr>
          <w:rFonts w:ascii="Garamond" w:hAnsi="Garamond"/>
        </w:rPr>
        <w:t>à penser les relations entre</w:t>
      </w:r>
      <w:r w:rsidR="00E70289">
        <w:rPr>
          <w:rFonts w:ascii="Garamond" w:hAnsi="Garamond"/>
        </w:rPr>
        <w:t>, d’une part,</w:t>
      </w:r>
      <w:r w:rsidR="00D16B9C">
        <w:rPr>
          <w:rFonts w:ascii="Garamond" w:hAnsi="Garamond"/>
        </w:rPr>
        <w:t xml:space="preserve"> les espaces dans lesquels la théorie se construit et</w:t>
      </w:r>
      <w:r w:rsidR="00E70289">
        <w:rPr>
          <w:rFonts w:ascii="Garamond" w:hAnsi="Garamond"/>
        </w:rPr>
        <w:t>, d’autre part,</w:t>
      </w:r>
      <w:r w:rsidR="00D16B9C">
        <w:rPr>
          <w:rFonts w:ascii="Garamond" w:hAnsi="Garamond"/>
        </w:rPr>
        <w:t xml:space="preserve"> les espaces conçus </w:t>
      </w:r>
      <w:r w:rsidR="00D16B9C" w:rsidRPr="00D16B9C">
        <w:rPr>
          <w:rFonts w:ascii="Garamond" w:hAnsi="Garamond"/>
          <w:i/>
        </w:rPr>
        <w:t>pour</w:t>
      </w:r>
      <w:r w:rsidR="00D16B9C">
        <w:rPr>
          <w:rFonts w:ascii="Garamond" w:hAnsi="Garamond"/>
        </w:rPr>
        <w:t xml:space="preserve"> et </w:t>
      </w:r>
      <w:r w:rsidR="00D16B9C" w:rsidRPr="00D16B9C">
        <w:rPr>
          <w:rFonts w:ascii="Garamond" w:hAnsi="Garamond"/>
          <w:i/>
        </w:rPr>
        <w:t>par</w:t>
      </w:r>
      <w:r w:rsidR="00D16B9C">
        <w:rPr>
          <w:rFonts w:ascii="Garamond" w:hAnsi="Garamond"/>
        </w:rPr>
        <w:t xml:space="preserve"> les pratiques sémiotiques. </w:t>
      </w:r>
    </w:p>
    <w:p w14:paraId="0844A7BF" w14:textId="12C2D5DD" w:rsidR="00A54198" w:rsidRDefault="00D16B9C" w:rsidP="00D417C4">
      <w:pPr>
        <w:spacing w:line="280" w:lineRule="atLeast"/>
        <w:jc w:val="both"/>
        <w:rPr>
          <w:rFonts w:ascii="Garamond" w:hAnsi="Garamond"/>
        </w:rPr>
      </w:pPr>
      <w:r>
        <w:rPr>
          <w:rFonts w:ascii="Garamond" w:hAnsi="Garamond"/>
        </w:rPr>
        <w:t xml:space="preserve">Sur le plan méthodologique, nous </w:t>
      </w:r>
      <w:r w:rsidR="0098428F">
        <w:rPr>
          <w:rFonts w:ascii="Garamond" w:hAnsi="Garamond"/>
        </w:rPr>
        <w:t xml:space="preserve">souhaitons </w:t>
      </w:r>
      <w:r>
        <w:rPr>
          <w:rFonts w:ascii="Garamond" w:hAnsi="Garamond"/>
        </w:rPr>
        <w:t>situer les interventions dans l</w:t>
      </w:r>
      <w:r w:rsidR="0098428F">
        <w:rPr>
          <w:rFonts w:ascii="Garamond" w:hAnsi="Garamond"/>
        </w:rPr>
        <w:t>’</w:t>
      </w:r>
      <w:r>
        <w:rPr>
          <w:rFonts w:ascii="Garamond" w:hAnsi="Garamond"/>
        </w:rPr>
        <w:t xml:space="preserve">articulation entre des espaces différemment élaborés et négociés sur le plan théorique et/praxique. Il est évident que certaines articulations ont été déjà abordées, comme celle entre l’espace discursif et l’espace d’implémentation d’une œuvre d’art, mais même dans ce cas, </w:t>
      </w:r>
      <w:r w:rsidR="00C8636E">
        <w:rPr>
          <w:rFonts w:ascii="Garamond" w:hAnsi="Garamond"/>
        </w:rPr>
        <w:t>plusieurs</w:t>
      </w:r>
      <w:r>
        <w:rPr>
          <w:rFonts w:ascii="Garamond" w:hAnsi="Garamond"/>
        </w:rPr>
        <w:t xml:space="preserve"> aspects restent à décrire et à préciser. La sémiotique du projet a travaillé sur les relations entre espace de modélisation et espace de production, mais plusieurs conversions entre les deux sont encore peu explor</w:t>
      </w:r>
      <w:r w:rsidR="00326DCE">
        <w:rPr>
          <w:rFonts w:ascii="Garamond" w:hAnsi="Garamond"/>
        </w:rPr>
        <w:t>é</w:t>
      </w:r>
      <w:r w:rsidR="00CC5C9F">
        <w:rPr>
          <w:rFonts w:ascii="Garamond" w:hAnsi="Garamond"/>
        </w:rPr>
        <w:t>e</w:t>
      </w:r>
      <w:r w:rsidR="00326DCE">
        <w:rPr>
          <w:rFonts w:ascii="Garamond" w:hAnsi="Garamond"/>
        </w:rPr>
        <w:t>s</w:t>
      </w:r>
      <w:r>
        <w:rPr>
          <w:rFonts w:ascii="Garamond" w:hAnsi="Garamond"/>
        </w:rPr>
        <w:t xml:space="preserve">, au moins du point de vue sémiotique. </w:t>
      </w:r>
      <w:r w:rsidR="00326DCE">
        <w:rPr>
          <w:rFonts w:ascii="Garamond" w:hAnsi="Garamond"/>
        </w:rPr>
        <w:t>On voit bien que la liste serait longue</w:t>
      </w:r>
      <w:r w:rsidR="000B3151">
        <w:rPr>
          <w:rFonts w:ascii="Garamond" w:hAnsi="Garamond"/>
        </w:rPr>
        <w:t>. P</w:t>
      </w:r>
      <w:r w:rsidR="00326DCE">
        <w:rPr>
          <w:rFonts w:ascii="Garamond" w:hAnsi="Garamond"/>
        </w:rPr>
        <w:t>arfois la pertinence sémiotique reste problématique, voire à construire (par ex. les relations entre les niches propres aux formes de vie et l’environnement)</w:t>
      </w:r>
      <w:r w:rsidR="000B3151">
        <w:rPr>
          <w:rFonts w:ascii="Garamond" w:hAnsi="Garamond"/>
        </w:rPr>
        <w:t>.</w:t>
      </w:r>
      <w:r w:rsidR="00326DCE">
        <w:rPr>
          <w:rFonts w:ascii="Garamond" w:hAnsi="Garamond"/>
        </w:rPr>
        <w:t xml:space="preserve"> </w:t>
      </w:r>
      <w:r w:rsidR="000B3151">
        <w:rPr>
          <w:rFonts w:ascii="Garamond" w:hAnsi="Garamond"/>
        </w:rPr>
        <w:t>D</w:t>
      </w:r>
      <w:r w:rsidR="00326DCE">
        <w:rPr>
          <w:rFonts w:ascii="Garamond" w:hAnsi="Garamond"/>
        </w:rPr>
        <w:t>ans d’autres cas la sémiotisation de l’espace se présente comme une approche privilégiée</w:t>
      </w:r>
      <w:r w:rsidR="00E70289">
        <w:rPr>
          <w:rFonts w:ascii="Garamond" w:hAnsi="Garamond"/>
        </w:rPr>
        <w:t xml:space="preserve">, mais largement </w:t>
      </w:r>
      <w:r w:rsidR="00561E78">
        <w:rPr>
          <w:rFonts w:ascii="Garamond" w:hAnsi="Garamond"/>
        </w:rPr>
        <w:t>fragmentaire</w:t>
      </w:r>
      <w:r w:rsidR="00326DCE">
        <w:rPr>
          <w:rFonts w:ascii="Garamond" w:hAnsi="Garamond"/>
        </w:rPr>
        <w:t xml:space="preserve"> (les topiques des juridictions de sens avec leurs fondements, leurs lieux institutionnels, leurs périmètres d’action</w:t>
      </w:r>
      <w:r w:rsidR="005D2CE3">
        <w:rPr>
          <w:rFonts w:ascii="Garamond" w:hAnsi="Garamond"/>
        </w:rPr>
        <w:t xml:space="preserve"> légitime,</w:t>
      </w:r>
      <w:r w:rsidR="00326DCE">
        <w:rPr>
          <w:rFonts w:ascii="Garamond" w:hAnsi="Garamond"/>
        </w:rPr>
        <w:t xml:space="preserve"> leurs espaces d’influence, etc.). </w:t>
      </w:r>
    </w:p>
    <w:p w14:paraId="4CE3F0D3" w14:textId="5F4CF918" w:rsidR="005D2CE3" w:rsidRPr="00A54198" w:rsidRDefault="005D2CE3" w:rsidP="00D417C4">
      <w:pPr>
        <w:spacing w:line="280" w:lineRule="atLeast"/>
        <w:jc w:val="both"/>
        <w:rPr>
          <w:rFonts w:ascii="Garamond" w:hAnsi="Garamond"/>
        </w:rPr>
      </w:pPr>
      <w:r>
        <w:rPr>
          <w:rFonts w:ascii="Garamond" w:hAnsi="Garamond"/>
        </w:rPr>
        <w:t>Pour résumer, la proposition de cette année se situe au croisement de deux enjeux principaux : solliciter une réflexion sur les espaces de représentation, de modélisation, de description de la sémiotique actuelle ; tester le « tournant écologique » à partir de nouveaux apports de la sémiotique à la théorie de l’espace</w:t>
      </w:r>
      <w:r w:rsidR="00536DE9">
        <w:rPr>
          <w:rFonts w:ascii="Garamond" w:hAnsi="Garamond"/>
        </w:rPr>
        <w:t xml:space="preserve"> (</w:t>
      </w:r>
      <w:r w:rsidR="00D417C4" w:rsidRPr="00D417C4">
        <w:rPr>
          <w:rFonts w:ascii="Garamond" w:hAnsi="Garamond"/>
          <w:i/>
        </w:rPr>
        <w:t>P. Basso Fossali</w:t>
      </w:r>
      <w:r w:rsidR="00D417C4">
        <w:rPr>
          <w:rFonts w:ascii="Garamond" w:hAnsi="Garamond"/>
        </w:rPr>
        <w:t>)</w:t>
      </w:r>
      <w:r>
        <w:rPr>
          <w:rFonts w:ascii="Garamond" w:hAnsi="Garamond"/>
        </w:rPr>
        <w:t>.</w:t>
      </w:r>
    </w:p>
    <w:p w14:paraId="5F9AAF75" w14:textId="77777777" w:rsidR="00886D84" w:rsidRPr="00D0650C" w:rsidRDefault="00886D84" w:rsidP="00886D84">
      <w:pPr>
        <w:jc w:val="both"/>
        <w:rPr>
          <w:rFonts w:ascii="Garamond" w:hAnsi="Garamond"/>
          <w:sz w:val="18"/>
          <w:szCs w:val="18"/>
        </w:rPr>
      </w:pPr>
    </w:p>
    <w:p w14:paraId="4C4A0F6B" w14:textId="77777777" w:rsidR="009C747E" w:rsidRPr="009D56DE" w:rsidRDefault="009C747E" w:rsidP="009C747E">
      <w:pPr>
        <w:jc w:val="center"/>
        <w:rPr>
          <w:rFonts w:ascii="Garamond" w:hAnsi="Garamond"/>
        </w:rPr>
      </w:pPr>
      <w:r w:rsidRPr="009D56DE">
        <w:rPr>
          <w:rFonts w:ascii="Garamond" w:hAnsi="Garamond"/>
        </w:rPr>
        <w:t>* * *</w:t>
      </w:r>
    </w:p>
    <w:p w14:paraId="503E55A2" w14:textId="77777777" w:rsidR="009C747E" w:rsidRPr="00D0650C" w:rsidRDefault="009C747E" w:rsidP="009C747E">
      <w:pPr>
        <w:jc w:val="both"/>
        <w:rPr>
          <w:rFonts w:ascii="Garamond" w:hAnsi="Garamond"/>
          <w:sz w:val="18"/>
          <w:szCs w:val="18"/>
        </w:rPr>
      </w:pPr>
    </w:p>
    <w:p w14:paraId="026818EC" w14:textId="0197714D" w:rsidR="009C747E" w:rsidRPr="00E92278" w:rsidRDefault="009C747E" w:rsidP="009C747E">
      <w:pPr>
        <w:rPr>
          <w:rFonts w:ascii="Garamond" w:hAnsi="Garamond"/>
          <w:sz w:val="28"/>
          <w:szCs w:val="28"/>
        </w:rPr>
      </w:pPr>
      <w:r w:rsidRPr="00E92278">
        <w:rPr>
          <w:rFonts w:ascii="Garamond" w:hAnsi="Garamond"/>
          <w:i/>
          <w:sz w:val="28"/>
          <w:szCs w:val="28"/>
        </w:rPr>
        <w:t>Calendrier</w:t>
      </w:r>
      <w:r w:rsidR="005D2CE3" w:rsidRPr="00E92278">
        <w:rPr>
          <w:rFonts w:ascii="Garamond" w:hAnsi="Garamond"/>
          <w:i/>
          <w:sz w:val="28"/>
          <w:szCs w:val="28"/>
        </w:rPr>
        <w:t xml:space="preserve"> provisoire</w:t>
      </w:r>
      <w:r w:rsidR="00C16F10">
        <w:rPr>
          <w:rFonts w:ascii="Garamond" w:hAnsi="Garamond"/>
          <w:i/>
          <w:sz w:val="28"/>
          <w:szCs w:val="28"/>
        </w:rPr>
        <w:tab/>
      </w:r>
      <w:r w:rsidR="00C16F10">
        <w:rPr>
          <w:rFonts w:ascii="Garamond" w:hAnsi="Garamond"/>
          <w:i/>
          <w:sz w:val="28"/>
          <w:szCs w:val="28"/>
        </w:rPr>
        <w:tab/>
      </w:r>
      <w:r w:rsidR="00C16F10">
        <w:rPr>
          <w:rFonts w:ascii="Garamond" w:hAnsi="Garamond"/>
          <w:i/>
          <w:sz w:val="28"/>
          <w:szCs w:val="28"/>
        </w:rPr>
        <w:tab/>
        <w:t>Conseil scientifique</w:t>
      </w:r>
    </w:p>
    <w:p w14:paraId="1B6FF462" w14:textId="52F4D710" w:rsidR="00C16F10" w:rsidRPr="009D56DE" w:rsidRDefault="00C16F10" w:rsidP="00C16F10">
      <w:pPr>
        <w:rPr>
          <w:rFonts w:ascii="Garamond" w:eastAsia="Times New Roman" w:hAnsi="Garamond" w:cs="Times New Roman"/>
          <w:color w:val="000000"/>
          <w:sz w:val="20"/>
          <w:szCs w:val="20"/>
        </w:rPr>
      </w:pPr>
      <w:r>
        <w:rPr>
          <w:rFonts w:ascii="Garamond" w:eastAsia="Times New Roman" w:hAnsi="Garamond" w:cs="Times New Roman"/>
          <w:noProof/>
          <w:color w:val="000000"/>
          <w:sz w:val="20"/>
          <w:szCs w:val="20"/>
        </w:rPr>
        <mc:AlternateContent>
          <mc:Choice Requires="wps">
            <w:drawing>
              <wp:anchor distT="0" distB="0" distL="114300" distR="114300" simplePos="0" relativeHeight="251659264" behindDoc="0" locked="0" layoutInCell="1" allowOverlap="1" wp14:anchorId="15EB7089" wp14:editId="30A1A7DC">
                <wp:simplePos x="0" y="0"/>
                <wp:positionH relativeFrom="column">
                  <wp:posOffset>1940047</wp:posOffset>
                </wp:positionH>
                <wp:positionV relativeFrom="paragraph">
                  <wp:posOffset>194540</wp:posOffset>
                </wp:positionV>
                <wp:extent cx="3547353" cy="171855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547353" cy="1718553"/>
                        </a:xfrm>
                        <a:prstGeom prst="rect">
                          <a:avLst/>
                        </a:prstGeom>
                        <a:solidFill>
                          <a:schemeClr val="lt1"/>
                        </a:solidFill>
                        <a:ln w="6350">
                          <a:noFill/>
                        </a:ln>
                      </wps:spPr>
                      <wps:txbx>
                        <w:txbxContent>
                          <w:p w14:paraId="16C829CA" w14:textId="32BF9A4A" w:rsidR="00C16F10" w:rsidRPr="00D0650C" w:rsidRDefault="00C16F10">
                            <w:pPr>
                              <w:rPr>
                                <w:rFonts w:ascii="Garamond" w:hAnsi="Garamond"/>
                                <w:sz w:val="22"/>
                                <w:szCs w:val="22"/>
                              </w:rPr>
                            </w:pPr>
                            <w:r w:rsidRPr="00D0650C">
                              <w:rPr>
                                <w:rFonts w:ascii="Garamond" w:hAnsi="Garamond"/>
                                <w:sz w:val="22"/>
                                <w:szCs w:val="22"/>
                              </w:rPr>
                              <w:t>Juan Alonso Aldama, Pierluigi Basso</w:t>
                            </w:r>
                            <w:r w:rsidR="00620B74">
                              <w:rPr>
                                <w:rFonts w:ascii="Garamond" w:hAnsi="Garamond"/>
                                <w:sz w:val="22"/>
                                <w:szCs w:val="22"/>
                              </w:rPr>
                              <w:t xml:space="preserve"> </w:t>
                            </w:r>
                            <w:r w:rsidR="00620B74" w:rsidRPr="00620B74">
                              <w:rPr>
                                <w:rFonts w:ascii="Garamond" w:hAnsi="Garamond"/>
                                <w:sz w:val="22"/>
                                <w:szCs w:val="22"/>
                              </w:rPr>
                              <w:t>(</w:t>
                            </w:r>
                            <w:r w:rsidR="00620B74" w:rsidRPr="00620B74">
                              <w:rPr>
                                <w:rFonts w:ascii="Garamond" w:hAnsi="Garamond"/>
                                <w:i/>
                                <w:sz w:val="22"/>
                                <w:szCs w:val="22"/>
                              </w:rPr>
                              <w:t>coordinateur</w:t>
                            </w:r>
                            <w:r w:rsidR="00620B74" w:rsidRPr="00620B74">
                              <w:rPr>
                                <w:rFonts w:ascii="Garamond" w:hAnsi="Garamond"/>
                                <w:sz w:val="22"/>
                                <w:szCs w:val="22"/>
                              </w:rPr>
                              <w:t>)</w:t>
                            </w:r>
                            <w:r w:rsidRPr="00D0650C">
                              <w:rPr>
                                <w:rFonts w:ascii="Garamond" w:hAnsi="Garamond"/>
                                <w:sz w:val="22"/>
                                <w:szCs w:val="22"/>
                              </w:rPr>
                              <w:t xml:space="preserve">, Denis Bertrand, Anne Beyaert-Geslin, Jean-François Bordron, </w:t>
                            </w:r>
                            <w:r w:rsidR="000442F2" w:rsidRPr="00D0650C">
                              <w:rPr>
                                <w:rFonts w:ascii="Garamond" w:hAnsi="Garamond"/>
                                <w:sz w:val="22"/>
                                <w:szCs w:val="22"/>
                              </w:rPr>
                              <w:t xml:space="preserve">Marion Colas-Blaise, </w:t>
                            </w:r>
                            <w:r w:rsidRPr="00D0650C">
                              <w:rPr>
                                <w:rFonts w:ascii="Garamond" w:hAnsi="Garamond"/>
                                <w:sz w:val="22"/>
                                <w:szCs w:val="22"/>
                              </w:rPr>
                              <w:t>Nicolas Couégnas, Ivan Darrault-Harris, Maria Giulia Dondero, Jacques Fontanille, Didier Tsala-Effa.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EB7089" id="_x0000_t202" coordsize="21600,21600" o:spt="202" path="m,l,21600r21600,l21600,xe">
                <v:stroke joinstyle="miter"/>
                <v:path gradientshapeok="t" o:connecttype="rect"/>
              </v:shapetype>
              <v:shape id="Zone de texte 1" o:spid="_x0000_s1026" type="#_x0000_t202" style="position:absolute;margin-left:152.75pt;margin-top:15.3pt;width:279.3pt;height:13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" fillcolor="white [3201]" stroked="f" strokeweight=".5pt">
                <v:textbox>
                  <w:txbxContent>
                    <w:p w14:paraId="16C829CA" w14:textId="32BF9A4A" w:rsidR="00C16F10" w:rsidRPr="00D0650C" w:rsidRDefault="00C16F10">
                      <w:pPr>
                        <w:rPr>
                          <w:rFonts w:ascii="Garamond" w:hAnsi="Garamond"/>
                          <w:sz w:val="22"/>
                          <w:szCs w:val="22"/>
                        </w:rPr>
                      </w:pPr>
                      <w:r w:rsidRPr="00D0650C">
                        <w:rPr>
                          <w:rFonts w:ascii="Garamond" w:hAnsi="Garamond"/>
                          <w:sz w:val="22"/>
                          <w:szCs w:val="22"/>
                        </w:rPr>
                        <w:t>Juan Alonso Aldama, Pierluigi Basso</w:t>
                      </w:r>
                      <w:r w:rsidR="00620B74">
                        <w:rPr>
                          <w:rFonts w:ascii="Garamond" w:hAnsi="Garamond"/>
                          <w:sz w:val="22"/>
                          <w:szCs w:val="22"/>
                        </w:rPr>
                        <w:t xml:space="preserve"> </w:t>
                      </w:r>
                      <w:r w:rsidR="00620B74" w:rsidRPr="00620B74">
                        <w:rPr>
                          <w:rFonts w:ascii="Garamond" w:hAnsi="Garamond"/>
                          <w:sz w:val="22"/>
                          <w:szCs w:val="22"/>
                        </w:rPr>
                        <w:t>(</w:t>
                      </w:r>
                      <w:r w:rsidR="00620B74" w:rsidRPr="00620B74">
                        <w:rPr>
                          <w:rFonts w:ascii="Garamond" w:hAnsi="Garamond"/>
                          <w:i/>
                          <w:sz w:val="22"/>
                          <w:szCs w:val="22"/>
                        </w:rPr>
                        <w:t>coordinateur</w:t>
                      </w:r>
                      <w:r w:rsidR="00620B74" w:rsidRPr="00620B74">
                        <w:rPr>
                          <w:rFonts w:ascii="Garamond" w:hAnsi="Garamond"/>
                          <w:sz w:val="22"/>
                          <w:szCs w:val="22"/>
                        </w:rPr>
                        <w:t>)</w:t>
                      </w:r>
                      <w:r w:rsidRPr="00D0650C">
                        <w:rPr>
                          <w:rFonts w:ascii="Garamond" w:hAnsi="Garamond"/>
                          <w:sz w:val="22"/>
                          <w:szCs w:val="22"/>
                        </w:rPr>
                        <w:t xml:space="preserve">, Denis Bertrand, Anne Beyaert-Geslin, Jean-François Bordron, </w:t>
                      </w:r>
                      <w:r w:rsidR="000442F2" w:rsidRPr="00D0650C">
                        <w:rPr>
                          <w:rFonts w:ascii="Garamond" w:hAnsi="Garamond"/>
                          <w:sz w:val="22"/>
                          <w:szCs w:val="22"/>
                        </w:rPr>
                        <w:t xml:space="preserve">Marion Colas-Blaise, </w:t>
                      </w:r>
                      <w:r w:rsidRPr="00D0650C">
                        <w:rPr>
                          <w:rFonts w:ascii="Garamond" w:hAnsi="Garamond"/>
                          <w:sz w:val="22"/>
                          <w:szCs w:val="22"/>
                        </w:rPr>
                        <w:t>Nicolas Couégnas, Ivan Darrault-Harris, Maria Giulia Dondero, Jacques Fo</w:t>
                      </w:r>
                      <w:bookmarkStart w:id="1" w:name="_GoBack"/>
                      <w:bookmarkEnd w:id="1"/>
                      <w:r w:rsidRPr="00D0650C">
                        <w:rPr>
                          <w:rFonts w:ascii="Garamond" w:hAnsi="Garamond"/>
                          <w:sz w:val="22"/>
                          <w:szCs w:val="22"/>
                        </w:rPr>
                        <w:t>ntanille, Didier Tsala-Effa.</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1696"/>
      </w:tblGrid>
      <w:tr w:rsidR="00C16F10" w:rsidRPr="00D0650C" w14:paraId="4357B515" w14:textId="77777777" w:rsidTr="00C16F10">
        <w:tc>
          <w:tcPr>
            <w:tcW w:w="1696" w:type="dxa"/>
            <w:tcMar>
              <w:top w:w="0" w:type="dxa"/>
              <w:left w:w="108" w:type="dxa"/>
              <w:bottom w:w="0" w:type="dxa"/>
              <w:right w:w="108" w:type="dxa"/>
            </w:tcMar>
            <w:hideMark/>
          </w:tcPr>
          <w:p w14:paraId="30FF0B0D"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17 novembre</w:t>
            </w:r>
          </w:p>
        </w:tc>
      </w:tr>
      <w:tr w:rsidR="00C16F10" w:rsidRPr="00D0650C" w14:paraId="7CF899BC" w14:textId="77777777" w:rsidTr="00C16F10">
        <w:tc>
          <w:tcPr>
            <w:tcW w:w="1696" w:type="dxa"/>
            <w:tcMar>
              <w:top w:w="0" w:type="dxa"/>
              <w:left w:w="108" w:type="dxa"/>
              <w:bottom w:w="0" w:type="dxa"/>
              <w:right w:w="108" w:type="dxa"/>
            </w:tcMar>
            <w:hideMark/>
          </w:tcPr>
          <w:p w14:paraId="16CACBC9"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w:t>
            </w:r>
            <w:r w:rsidRPr="00D0650C">
              <w:rPr>
                <w:rFonts w:ascii="Garamond" w:eastAsia="Times New Roman" w:hAnsi="Garamond" w:cs="Times New Roman"/>
                <w:sz w:val="22"/>
                <w:szCs w:val="22"/>
                <w:vertAlign w:val="superscript"/>
              </w:rPr>
              <w:t>er</w:t>
            </w:r>
            <w:r w:rsidRPr="00D0650C">
              <w:rPr>
                <w:rFonts w:ascii="Garamond" w:eastAsia="Times New Roman" w:hAnsi="Garamond" w:cs="Times New Roman"/>
                <w:sz w:val="22"/>
                <w:szCs w:val="22"/>
              </w:rPr>
              <w:t> décembre</w:t>
            </w:r>
          </w:p>
        </w:tc>
      </w:tr>
      <w:tr w:rsidR="00C16F10" w:rsidRPr="00D0650C" w14:paraId="636C0C8F" w14:textId="77777777" w:rsidTr="00C16F10">
        <w:tc>
          <w:tcPr>
            <w:tcW w:w="1696" w:type="dxa"/>
            <w:tcMar>
              <w:top w:w="0" w:type="dxa"/>
              <w:left w:w="108" w:type="dxa"/>
              <w:bottom w:w="0" w:type="dxa"/>
              <w:right w:w="108" w:type="dxa"/>
            </w:tcMar>
            <w:hideMark/>
          </w:tcPr>
          <w:p w14:paraId="682EB895"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15 décembre</w:t>
            </w:r>
          </w:p>
        </w:tc>
      </w:tr>
      <w:tr w:rsidR="00C16F10" w:rsidRPr="00D0650C" w14:paraId="5A49BAF8" w14:textId="77777777" w:rsidTr="00C16F10">
        <w:tc>
          <w:tcPr>
            <w:tcW w:w="1696" w:type="dxa"/>
            <w:tcMar>
              <w:top w:w="0" w:type="dxa"/>
              <w:left w:w="108" w:type="dxa"/>
              <w:bottom w:w="0" w:type="dxa"/>
              <w:right w:w="108" w:type="dxa"/>
            </w:tcMar>
            <w:hideMark/>
          </w:tcPr>
          <w:p w14:paraId="432AC163"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12 janvier</w:t>
            </w:r>
          </w:p>
        </w:tc>
      </w:tr>
      <w:tr w:rsidR="00C16F10" w:rsidRPr="00D0650C" w14:paraId="0435FEA4" w14:textId="77777777" w:rsidTr="00C16F10">
        <w:tc>
          <w:tcPr>
            <w:tcW w:w="1696" w:type="dxa"/>
            <w:tcMar>
              <w:top w:w="0" w:type="dxa"/>
              <w:left w:w="108" w:type="dxa"/>
              <w:bottom w:w="0" w:type="dxa"/>
              <w:right w:w="108" w:type="dxa"/>
            </w:tcMar>
            <w:hideMark/>
          </w:tcPr>
          <w:p w14:paraId="5996AB49"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26 janvier</w:t>
            </w:r>
          </w:p>
        </w:tc>
      </w:tr>
      <w:tr w:rsidR="00C16F10" w:rsidRPr="00D0650C" w14:paraId="2F332B0F" w14:textId="77777777" w:rsidTr="00C16F10">
        <w:tc>
          <w:tcPr>
            <w:tcW w:w="1696" w:type="dxa"/>
            <w:tcMar>
              <w:top w:w="0" w:type="dxa"/>
              <w:left w:w="108" w:type="dxa"/>
              <w:bottom w:w="0" w:type="dxa"/>
              <w:right w:w="108" w:type="dxa"/>
            </w:tcMar>
            <w:hideMark/>
          </w:tcPr>
          <w:p w14:paraId="26769B5E"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9 février</w:t>
            </w:r>
          </w:p>
        </w:tc>
      </w:tr>
      <w:tr w:rsidR="00C16F10" w:rsidRPr="00D0650C" w14:paraId="152AC39B" w14:textId="77777777" w:rsidTr="00C16F10">
        <w:tc>
          <w:tcPr>
            <w:tcW w:w="1696" w:type="dxa"/>
            <w:tcMar>
              <w:top w:w="0" w:type="dxa"/>
              <w:left w:w="108" w:type="dxa"/>
              <w:bottom w:w="0" w:type="dxa"/>
              <w:right w:w="108" w:type="dxa"/>
            </w:tcMar>
            <w:hideMark/>
          </w:tcPr>
          <w:p w14:paraId="5907A3FB"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2 mars</w:t>
            </w:r>
          </w:p>
        </w:tc>
      </w:tr>
      <w:tr w:rsidR="00C16F10" w:rsidRPr="00D0650C" w14:paraId="7A82BE18" w14:textId="77777777" w:rsidTr="00C16F10">
        <w:tc>
          <w:tcPr>
            <w:tcW w:w="1696" w:type="dxa"/>
            <w:tcMar>
              <w:top w:w="0" w:type="dxa"/>
              <w:left w:w="108" w:type="dxa"/>
              <w:bottom w:w="0" w:type="dxa"/>
              <w:right w:w="108" w:type="dxa"/>
            </w:tcMar>
            <w:hideMark/>
          </w:tcPr>
          <w:p w14:paraId="249EC89C"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16 mars</w:t>
            </w:r>
          </w:p>
        </w:tc>
      </w:tr>
      <w:tr w:rsidR="00C16F10" w:rsidRPr="00D0650C" w14:paraId="5CE315DE" w14:textId="77777777" w:rsidTr="00C16F10">
        <w:tc>
          <w:tcPr>
            <w:tcW w:w="1696" w:type="dxa"/>
            <w:tcMar>
              <w:top w:w="0" w:type="dxa"/>
              <w:left w:w="108" w:type="dxa"/>
              <w:bottom w:w="0" w:type="dxa"/>
              <w:right w:w="108" w:type="dxa"/>
            </w:tcMar>
            <w:hideMark/>
          </w:tcPr>
          <w:p w14:paraId="04C38C1E"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30 mars</w:t>
            </w:r>
          </w:p>
        </w:tc>
      </w:tr>
      <w:tr w:rsidR="00C16F10" w:rsidRPr="00D0650C" w14:paraId="12D91351" w14:textId="77777777" w:rsidTr="00C16F10">
        <w:tc>
          <w:tcPr>
            <w:tcW w:w="1696" w:type="dxa"/>
            <w:tcMar>
              <w:top w:w="0" w:type="dxa"/>
              <w:left w:w="108" w:type="dxa"/>
              <w:bottom w:w="0" w:type="dxa"/>
              <w:right w:w="108" w:type="dxa"/>
            </w:tcMar>
            <w:hideMark/>
          </w:tcPr>
          <w:p w14:paraId="0ECABD9E"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13 avril</w:t>
            </w:r>
          </w:p>
        </w:tc>
      </w:tr>
      <w:tr w:rsidR="00C16F10" w:rsidRPr="00D0650C" w14:paraId="634FCBF8" w14:textId="77777777" w:rsidTr="00C16F10">
        <w:tc>
          <w:tcPr>
            <w:tcW w:w="1696" w:type="dxa"/>
            <w:tcMar>
              <w:top w:w="0" w:type="dxa"/>
              <w:left w:w="108" w:type="dxa"/>
              <w:bottom w:w="0" w:type="dxa"/>
              <w:right w:w="108" w:type="dxa"/>
            </w:tcMar>
            <w:hideMark/>
          </w:tcPr>
          <w:p w14:paraId="2CC6D7C1"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4 mai</w:t>
            </w:r>
          </w:p>
        </w:tc>
      </w:tr>
      <w:tr w:rsidR="00C16F10" w:rsidRPr="00D0650C" w14:paraId="45A87F11" w14:textId="77777777" w:rsidTr="00C16F10">
        <w:tc>
          <w:tcPr>
            <w:tcW w:w="1696" w:type="dxa"/>
            <w:tcMar>
              <w:top w:w="0" w:type="dxa"/>
              <w:left w:w="108" w:type="dxa"/>
              <w:bottom w:w="0" w:type="dxa"/>
              <w:right w:w="108" w:type="dxa"/>
            </w:tcMar>
            <w:hideMark/>
          </w:tcPr>
          <w:p w14:paraId="0750E687"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18 mai</w:t>
            </w:r>
          </w:p>
        </w:tc>
      </w:tr>
      <w:tr w:rsidR="00C16F10" w:rsidRPr="00D0650C" w14:paraId="10A19296" w14:textId="77777777" w:rsidTr="00C16F10">
        <w:tc>
          <w:tcPr>
            <w:tcW w:w="1696" w:type="dxa"/>
            <w:tcMar>
              <w:top w:w="0" w:type="dxa"/>
              <w:left w:w="108" w:type="dxa"/>
              <w:bottom w:w="0" w:type="dxa"/>
              <w:right w:w="108" w:type="dxa"/>
            </w:tcMar>
            <w:hideMark/>
          </w:tcPr>
          <w:p w14:paraId="6C1F8797" w14:textId="77777777" w:rsidR="00C16F10" w:rsidRPr="00D0650C" w:rsidRDefault="00C16F10" w:rsidP="001D465C">
            <w:pPr>
              <w:spacing w:before="100" w:beforeAutospacing="1" w:after="100" w:afterAutospacing="1"/>
              <w:rPr>
                <w:rFonts w:ascii="Garamond" w:eastAsia="Times New Roman" w:hAnsi="Garamond" w:cs="Times New Roman"/>
                <w:sz w:val="22"/>
                <w:szCs w:val="22"/>
              </w:rPr>
            </w:pPr>
            <w:r w:rsidRPr="00D0650C">
              <w:rPr>
                <w:rFonts w:ascii="Garamond" w:eastAsia="Times New Roman" w:hAnsi="Garamond" w:cs="Times New Roman"/>
                <w:sz w:val="22"/>
                <w:szCs w:val="22"/>
              </w:rPr>
              <w:t>1</w:t>
            </w:r>
            <w:r w:rsidRPr="00D0650C">
              <w:rPr>
                <w:rFonts w:ascii="Garamond" w:eastAsia="Times New Roman" w:hAnsi="Garamond" w:cs="Times New Roman"/>
                <w:sz w:val="22"/>
                <w:szCs w:val="22"/>
                <w:vertAlign w:val="superscript"/>
              </w:rPr>
              <w:t>er</w:t>
            </w:r>
            <w:r w:rsidRPr="00D0650C">
              <w:rPr>
                <w:rFonts w:ascii="Garamond" w:eastAsia="Times New Roman" w:hAnsi="Garamond" w:cs="Times New Roman"/>
                <w:sz w:val="22"/>
                <w:szCs w:val="22"/>
              </w:rPr>
              <w:t> juin</w:t>
            </w:r>
          </w:p>
        </w:tc>
      </w:tr>
    </w:tbl>
    <w:p w14:paraId="392D9B89" w14:textId="77777777" w:rsidR="005D2CE3" w:rsidRPr="009D56DE" w:rsidRDefault="005D2CE3" w:rsidP="009C747E">
      <w:pPr>
        <w:rPr>
          <w:rFonts w:ascii="Garamond" w:hAnsi="Garamond"/>
        </w:rPr>
      </w:pPr>
    </w:p>
    <w:p w14:paraId="52511E3A" w14:textId="4A546F37" w:rsidR="00D40A76" w:rsidRDefault="00D40A76" w:rsidP="009C747E">
      <w:pPr>
        <w:rPr>
          <w:rFonts w:ascii="Baskerville" w:hAnsi="Baskerville"/>
          <w:i/>
        </w:rPr>
      </w:pPr>
      <w:r w:rsidRPr="00D40A76">
        <w:rPr>
          <w:rFonts w:ascii="Baskerville" w:hAnsi="Baskerville"/>
          <w:i/>
        </w:rPr>
        <w:t>Programme provisoire des premières séances</w:t>
      </w:r>
    </w:p>
    <w:p w14:paraId="243B7623" w14:textId="182FD86F" w:rsidR="00C16F10" w:rsidRDefault="00C16F10" w:rsidP="009C747E">
      <w:pPr>
        <w:rPr>
          <w:rFonts w:ascii="Baskerville" w:hAnsi="Baskerville"/>
          <w:i/>
        </w:rPr>
      </w:pPr>
    </w:p>
    <w:tbl>
      <w:tblPr>
        <w:tblStyle w:val="Grilledutableau"/>
        <w:tblW w:w="0" w:type="auto"/>
        <w:tblLook w:val="04A0" w:firstRow="1" w:lastRow="0" w:firstColumn="1" w:lastColumn="0" w:noHBand="0" w:noVBand="1"/>
      </w:tblPr>
      <w:tblGrid>
        <w:gridCol w:w="1439"/>
        <w:gridCol w:w="1958"/>
        <w:gridCol w:w="5658"/>
      </w:tblGrid>
      <w:tr w:rsidR="006B5D55" w:rsidRPr="006B5D55" w14:paraId="063C54D9" w14:textId="77777777" w:rsidTr="006B5D55">
        <w:tc>
          <w:tcPr>
            <w:tcW w:w="1439" w:type="dxa"/>
          </w:tcPr>
          <w:p w14:paraId="5D0C3F6E" w14:textId="77777777" w:rsidR="006B5D55" w:rsidRPr="006B5D55" w:rsidRDefault="006B5D55" w:rsidP="001D465C">
            <w:pPr>
              <w:rPr>
                <w:rFonts w:ascii="Baskerville" w:hAnsi="Baskerville"/>
                <w:sz w:val="20"/>
                <w:szCs w:val="20"/>
              </w:rPr>
            </w:pPr>
            <w:r w:rsidRPr="006B5D55">
              <w:rPr>
                <w:rFonts w:ascii="Baskerville" w:hAnsi="Baskerville"/>
                <w:sz w:val="20"/>
                <w:szCs w:val="20"/>
              </w:rPr>
              <w:t>Séance</w:t>
            </w:r>
          </w:p>
        </w:tc>
        <w:tc>
          <w:tcPr>
            <w:tcW w:w="1958" w:type="dxa"/>
          </w:tcPr>
          <w:p w14:paraId="39EA5593" w14:textId="77777777" w:rsidR="006B5D55" w:rsidRPr="006B5D55" w:rsidRDefault="006B5D55" w:rsidP="001D465C">
            <w:pPr>
              <w:rPr>
                <w:rFonts w:ascii="Baskerville" w:hAnsi="Baskerville"/>
                <w:sz w:val="20"/>
                <w:szCs w:val="20"/>
              </w:rPr>
            </w:pPr>
            <w:r w:rsidRPr="006B5D55">
              <w:rPr>
                <w:rFonts w:ascii="Baskerville" w:hAnsi="Baskerville"/>
                <w:sz w:val="20"/>
                <w:szCs w:val="20"/>
              </w:rPr>
              <w:t>Thématiques</w:t>
            </w:r>
          </w:p>
        </w:tc>
        <w:tc>
          <w:tcPr>
            <w:tcW w:w="5658" w:type="dxa"/>
          </w:tcPr>
          <w:p w14:paraId="6DE1B07B" w14:textId="77777777" w:rsidR="006B5D55" w:rsidRPr="006B5D55" w:rsidRDefault="006B5D55" w:rsidP="001D465C">
            <w:pPr>
              <w:rPr>
                <w:rFonts w:ascii="Baskerville" w:hAnsi="Baskerville"/>
                <w:sz w:val="20"/>
                <w:szCs w:val="20"/>
              </w:rPr>
            </w:pPr>
            <w:r w:rsidRPr="006B5D55">
              <w:rPr>
                <w:rFonts w:ascii="Baskerville" w:hAnsi="Baskerville"/>
                <w:sz w:val="20"/>
                <w:szCs w:val="20"/>
              </w:rPr>
              <w:t>Intervenants</w:t>
            </w:r>
          </w:p>
        </w:tc>
      </w:tr>
      <w:tr w:rsidR="006B5D55" w:rsidRPr="006B5D55" w14:paraId="3B525310" w14:textId="77777777" w:rsidTr="006B5D55">
        <w:tc>
          <w:tcPr>
            <w:tcW w:w="1439" w:type="dxa"/>
          </w:tcPr>
          <w:p w14:paraId="538FCD8A" w14:textId="77777777" w:rsidR="006B5D55" w:rsidRPr="006B5D55" w:rsidRDefault="006B5D55" w:rsidP="001D465C">
            <w:pPr>
              <w:rPr>
                <w:rFonts w:ascii="Baskerville" w:hAnsi="Baskerville"/>
                <w:sz w:val="20"/>
                <w:szCs w:val="20"/>
              </w:rPr>
            </w:pPr>
            <w:r w:rsidRPr="006B5D55">
              <w:rPr>
                <w:rFonts w:ascii="Baskerville" w:hAnsi="Baskerville"/>
                <w:sz w:val="20"/>
                <w:szCs w:val="20"/>
              </w:rPr>
              <w:t>17 novembre</w:t>
            </w:r>
          </w:p>
        </w:tc>
        <w:tc>
          <w:tcPr>
            <w:tcW w:w="1958" w:type="dxa"/>
          </w:tcPr>
          <w:p w14:paraId="4ECD16A0" w14:textId="77777777" w:rsidR="006B5D55" w:rsidRPr="006B5D55" w:rsidRDefault="006B5D55" w:rsidP="001D465C">
            <w:pPr>
              <w:rPr>
                <w:rFonts w:ascii="Baskerville" w:hAnsi="Baskerville"/>
                <w:sz w:val="20"/>
                <w:szCs w:val="20"/>
              </w:rPr>
            </w:pPr>
            <w:r w:rsidRPr="006B5D55">
              <w:rPr>
                <w:rFonts w:ascii="Baskerville" w:hAnsi="Baskerville"/>
                <w:sz w:val="20"/>
                <w:szCs w:val="20"/>
              </w:rPr>
              <w:t>Ouverture</w:t>
            </w:r>
          </w:p>
        </w:tc>
        <w:tc>
          <w:tcPr>
            <w:tcW w:w="5658" w:type="dxa"/>
          </w:tcPr>
          <w:p w14:paraId="2CE9DCC1" w14:textId="47D26901" w:rsidR="006B5D55" w:rsidRPr="006B5D55" w:rsidRDefault="006B5D55" w:rsidP="001D465C">
            <w:pPr>
              <w:rPr>
                <w:rFonts w:ascii="Baskerville" w:hAnsi="Baskerville"/>
                <w:sz w:val="20"/>
                <w:szCs w:val="20"/>
              </w:rPr>
            </w:pPr>
            <w:r w:rsidRPr="006B5D55">
              <w:rPr>
                <w:rFonts w:ascii="Baskerville" w:hAnsi="Baskerville"/>
                <w:sz w:val="20"/>
                <w:szCs w:val="20"/>
              </w:rPr>
              <w:t xml:space="preserve">Pierluigi Basso </w:t>
            </w:r>
            <w:r w:rsidR="00D417C4">
              <w:rPr>
                <w:rFonts w:ascii="Baskerville" w:hAnsi="Baskerville"/>
                <w:sz w:val="20"/>
                <w:szCs w:val="20"/>
              </w:rPr>
              <w:t xml:space="preserve">Fossali </w:t>
            </w:r>
            <w:r w:rsidRPr="006B5D55">
              <w:rPr>
                <w:rFonts w:ascii="Baskerville" w:hAnsi="Baskerville"/>
                <w:sz w:val="20"/>
                <w:szCs w:val="20"/>
              </w:rPr>
              <w:t xml:space="preserve">(Université Lyon 2) : </w:t>
            </w:r>
            <w:r w:rsidRPr="006B5D55">
              <w:rPr>
                <w:rFonts w:ascii="Baskerville" w:hAnsi="Baskerville"/>
                <w:i/>
                <w:sz w:val="20"/>
                <w:szCs w:val="20"/>
              </w:rPr>
              <w:t>Environnement, espace, lieu : petite cartographie de la recherche sur les espaces pertinents pour la gestion de la signification</w:t>
            </w:r>
          </w:p>
          <w:p w14:paraId="22C6AFC8" w14:textId="77777777" w:rsidR="006B5D55" w:rsidRPr="006B5D55" w:rsidRDefault="006B5D55" w:rsidP="001D465C">
            <w:pPr>
              <w:rPr>
                <w:rFonts w:ascii="Baskerville" w:hAnsi="Baskerville"/>
                <w:i/>
                <w:iCs/>
                <w:sz w:val="20"/>
                <w:szCs w:val="20"/>
              </w:rPr>
            </w:pPr>
            <w:r w:rsidRPr="006B5D55">
              <w:rPr>
                <w:rFonts w:ascii="Baskerville" w:hAnsi="Baskerville"/>
                <w:sz w:val="20"/>
                <w:szCs w:val="20"/>
              </w:rPr>
              <w:t xml:space="preserve">Maria Giulia Dondero (F.R.S.-FNRS/Université de Liège) : </w:t>
            </w:r>
            <w:r w:rsidRPr="006B5D55">
              <w:rPr>
                <w:rFonts w:ascii="Baskerville" w:hAnsi="Baskerville"/>
                <w:i/>
                <w:iCs/>
                <w:sz w:val="20"/>
                <w:szCs w:val="20"/>
              </w:rPr>
              <w:t xml:space="preserve">L’espace expérimental. Le diagramme en sciences et en peinture </w:t>
            </w:r>
          </w:p>
        </w:tc>
      </w:tr>
      <w:tr w:rsidR="006B5D55" w:rsidRPr="006B5D55" w14:paraId="6EED4F6E" w14:textId="77777777" w:rsidTr="006B5D55">
        <w:tc>
          <w:tcPr>
            <w:tcW w:w="1439" w:type="dxa"/>
          </w:tcPr>
          <w:p w14:paraId="60496A9F" w14:textId="77777777" w:rsidR="006B5D55" w:rsidRPr="006B5D55" w:rsidRDefault="006B5D55" w:rsidP="001D465C">
            <w:pPr>
              <w:rPr>
                <w:rFonts w:ascii="Baskerville" w:hAnsi="Baskerville"/>
                <w:sz w:val="20"/>
                <w:szCs w:val="20"/>
              </w:rPr>
            </w:pPr>
            <w:r w:rsidRPr="006B5D55">
              <w:rPr>
                <w:rFonts w:ascii="Baskerville" w:hAnsi="Baskerville"/>
                <w:sz w:val="20"/>
                <w:szCs w:val="20"/>
              </w:rPr>
              <w:t>1</w:t>
            </w:r>
            <w:r w:rsidRPr="006B5D55">
              <w:rPr>
                <w:rFonts w:ascii="Baskerville" w:hAnsi="Baskerville"/>
                <w:sz w:val="20"/>
                <w:szCs w:val="20"/>
                <w:vertAlign w:val="superscript"/>
              </w:rPr>
              <w:t>er</w:t>
            </w:r>
            <w:r w:rsidRPr="006B5D55">
              <w:rPr>
                <w:rFonts w:ascii="Baskerville" w:hAnsi="Baskerville"/>
                <w:sz w:val="20"/>
                <w:szCs w:val="20"/>
              </w:rPr>
              <w:t xml:space="preserve"> décembre</w:t>
            </w:r>
          </w:p>
        </w:tc>
        <w:tc>
          <w:tcPr>
            <w:tcW w:w="1958" w:type="dxa"/>
          </w:tcPr>
          <w:p w14:paraId="7B8C3F7B" w14:textId="77777777" w:rsidR="006B5D55" w:rsidRPr="006B5D55" w:rsidRDefault="006B5D55" w:rsidP="001D465C">
            <w:pPr>
              <w:rPr>
                <w:rFonts w:ascii="Baskerville" w:hAnsi="Baskerville"/>
                <w:sz w:val="20"/>
                <w:szCs w:val="20"/>
              </w:rPr>
            </w:pPr>
            <w:r w:rsidRPr="006B5D55">
              <w:rPr>
                <w:rFonts w:ascii="Baskerville" w:hAnsi="Baskerville"/>
                <w:sz w:val="20"/>
                <w:szCs w:val="20"/>
              </w:rPr>
              <w:t xml:space="preserve">L’espace du diagramme </w:t>
            </w:r>
          </w:p>
        </w:tc>
        <w:tc>
          <w:tcPr>
            <w:tcW w:w="5658" w:type="dxa"/>
          </w:tcPr>
          <w:p w14:paraId="42A22959" w14:textId="77777777" w:rsidR="00D417C4" w:rsidRPr="006B5D55" w:rsidRDefault="00D417C4" w:rsidP="00D417C4">
            <w:pPr>
              <w:rPr>
                <w:rFonts w:ascii="Baskerville" w:hAnsi="Baskerville"/>
                <w:sz w:val="20"/>
                <w:szCs w:val="20"/>
              </w:rPr>
            </w:pPr>
            <w:r w:rsidRPr="006B5D55">
              <w:rPr>
                <w:rFonts w:ascii="Baskerville" w:hAnsi="Baskerville"/>
                <w:sz w:val="20"/>
                <w:szCs w:val="20"/>
              </w:rPr>
              <w:t>Fabien Ferri (Université de Franche-Comté</w:t>
            </w:r>
            <w:r>
              <w:rPr>
                <w:rFonts w:ascii="Baskerville" w:hAnsi="Baskerville"/>
                <w:sz w:val="20"/>
                <w:szCs w:val="20"/>
              </w:rPr>
              <w:t>/UTC</w:t>
            </w:r>
            <w:r w:rsidRPr="006B5D55">
              <w:rPr>
                <w:rFonts w:ascii="Baskerville" w:hAnsi="Baskerville"/>
                <w:sz w:val="20"/>
                <w:szCs w:val="20"/>
              </w:rPr>
              <w:t xml:space="preserve">) : </w:t>
            </w:r>
            <w:r w:rsidRPr="006B5D55">
              <w:rPr>
                <w:rFonts w:ascii="Baskerville" w:hAnsi="Baskerville"/>
                <w:i/>
                <w:sz w:val="20"/>
                <w:szCs w:val="20"/>
              </w:rPr>
              <w:t>Disposition des signes, spatialité diagrammatique et espace sémiotique de manipulation : arguments spatiaux sur la justification des diagrammes définis comme des machines sémiotiques</w:t>
            </w:r>
          </w:p>
          <w:p w14:paraId="5B6F1A8E" w14:textId="0690D92E" w:rsidR="00536DE9" w:rsidRDefault="00536DE9" w:rsidP="001D465C">
            <w:pPr>
              <w:rPr>
                <w:rFonts w:ascii="Baskerville" w:hAnsi="Baskerville"/>
                <w:sz w:val="20"/>
                <w:szCs w:val="20"/>
              </w:rPr>
            </w:pPr>
            <w:r>
              <w:rPr>
                <w:rFonts w:ascii="Baskerville" w:hAnsi="Baskerville"/>
                <w:sz w:val="20"/>
                <w:szCs w:val="20"/>
              </w:rPr>
              <w:t>Valeria Giardino</w:t>
            </w:r>
            <w:r w:rsidR="00D417C4">
              <w:rPr>
                <w:rFonts w:ascii="Baskerville" w:hAnsi="Baskerville"/>
                <w:sz w:val="20"/>
                <w:szCs w:val="20"/>
              </w:rPr>
              <w:t xml:space="preserve"> (</w:t>
            </w:r>
            <w:r w:rsidR="00D417C4" w:rsidRPr="00D417C4">
              <w:rPr>
                <w:rFonts w:ascii="Baskerville" w:hAnsi="Baskerville"/>
                <w:sz w:val="20"/>
                <w:szCs w:val="20"/>
              </w:rPr>
              <w:t>CNRS/Institut Nicod</w:t>
            </w:r>
            <w:r w:rsidR="00D417C4">
              <w:rPr>
                <w:rFonts w:ascii="Baskerville" w:hAnsi="Baskerville"/>
                <w:sz w:val="20"/>
                <w:szCs w:val="20"/>
              </w:rPr>
              <w:t>)</w:t>
            </w:r>
            <w:r>
              <w:rPr>
                <w:rFonts w:ascii="Baskerville" w:hAnsi="Baskerville"/>
                <w:sz w:val="20"/>
                <w:szCs w:val="20"/>
              </w:rPr>
              <w:t xml:space="preserve"> : </w:t>
            </w:r>
            <w:r w:rsidRPr="00536DE9">
              <w:rPr>
                <w:rFonts w:ascii="Baskerville" w:hAnsi="Baskerville"/>
                <w:i/>
                <w:sz w:val="20"/>
                <w:szCs w:val="20"/>
              </w:rPr>
              <w:t>« Sommes-nous des « êtres spatiaux » ? Raisonnement et spatialité</w:t>
            </w:r>
          </w:p>
          <w:p w14:paraId="7440A455" w14:textId="59C0DE30" w:rsidR="006B5D55" w:rsidRPr="006B5D55" w:rsidRDefault="006B5D55" w:rsidP="001D465C">
            <w:pPr>
              <w:rPr>
                <w:rFonts w:ascii="Baskerville" w:hAnsi="Baskerville"/>
                <w:sz w:val="20"/>
                <w:szCs w:val="20"/>
              </w:rPr>
            </w:pPr>
            <w:r w:rsidRPr="006B5D55">
              <w:rPr>
                <w:rFonts w:ascii="Baskerville" w:hAnsi="Baskerville"/>
                <w:sz w:val="20"/>
                <w:szCs w:val="20"/>
              </w:rPr>
              <w:t xml:space="preserve">Jean-François Bordron (Université de Limoges) : </w:t>
            </w:r>
            <w:r w:rsidR="00D417C4" w:rsidRPr="00D417C4">
              <w:rPr>
                <w:rFonts w:ascii="Baskerville" w:hAnsi="Baskerville"/>
                <w:i/>
                <w:sz w:val="20"/>
                <w:szCs w:val="20"/>
              </w:rPr>
              <w:t>Diagramme, signification et objet</w:t>
            </w:r>
          </w:p>
        </w:tc>
      </w:tr>
      <w:tr w:rsidR="006B5D55" w:rsidRPr="006B5D55" w14:paraId="1904D914" w14:textId="77777777" w:rsidTr="006B5D55">
        <w:tc>
          <w:tcPr>
            <w:tcW w:w="1439" w:type="dxa"/>
          </w:tcPr>
          <w:p w14:paraId="210D2739" w14:textId="77777777" w:rsidR="006B5D55" w:rsidRPr="006B5D55" w:rsidRDefault="006B5D55" w:rsidP="001D465C">
            <w:pPr>
              <w:rPr>
                <w:rFonts w:ascii="Baskerville" w:hAnsi="Baskerville"/>
                <w:sz w:val="20"/>
                <w:szCs w:val="20"/>
              </w:rPr>
            </w:pPr>
            <w:r w:rsidRPr="006B5D55">
              <w:rPr>
                <w:rFonts w:ascii="Baskerville" w:hAnsi="Baskerville"/>
                <w:sz w:val="20"/>
                <w:szCs w:val="20"/>
              </w:rPr>
              <w:t>15 décembre</w:t>
            </w:r>
          </w:p>
        </w:tc>
        <w:tc>
          <w:tcPr>
            <w:tcW w:w="1958" w:type="dxa"/>
          </w:tcPr>
          <w:p w14:paraId="10A67DB7" w14:textId="77777777" w:rsidR="006B5D55" w:rsidRPr="006B5D55" w:rsidRDefault="006B5D55" w:rsidP="001D465C">
            <w:pPr>
              <w:rPr>
                <w:rFonts w:ascii="Baskerville" w:hAnsi="Baskerville"/>
                <w:sz w:val="20"/>
                <w:szCs w:val="20"/>
              </w:rPr>
            </w:pPr>
            <w:r w:rsidRPr="006B5D55">
              <w:rPr>
                <w:rFonts w:ascii="Baskerville" w:hAnsi="Baskerville"/>
                <w:sz w:val="20"/>
                <w:szCs w:val="20"/>
              </w:rPr>
              <w:t>L’espace de l’interaction dans les jeux vidéo</w:t>
            </w:r>
          </w:p>
        </w:tc>
        <w:tc>
          <w:tcPr>
            <w:tcW w:w="5658" w:type="dxa"/>
          </w:tcPr>
          <w:p w14:paraId="5E319E4F" w14:textId="77777777" w:rsidR="006B5D55" w:rsidRPr="006B5D55" w:rsidRDefault="006B5D55" w:rsidP="001D465C">
            <w:pPr>
              <w:rPr>
                <w:rFonts w:ascii="Baskerville" w:hAnsi="Baskerville"/>
                <w:i/>
                <w:iCs/>
                <w:sz w:val="20"/>
                <w:szCs w:val="20"/>
              </w:rPr>
            </w:pPr>
            <w:r w:rsidRPr="006B5D55">
              <w:rPr>
                <w:rFonts w:ascii="Baskerville" w:hAnsi="Baskerville"/>
                <w:sz w:val="20"/>
                <w:szCs w:val="20"/>
              </w:rPr>
              <w:t xml:space="preserve">Enzo D’Armenio (Université de Liège) : </w:t>
            </w:r>
            <w:r w:rsidRPr="006B5D55">
              <w:rPr>
                <w:rFonts w:ascii="Baskerville" w:hAnsi="Baskerville"/>
                <w:i/>
                <w:iCs/>
                <w:sz w:val="20"/>
                <w:szCs w:val="20"/>
              </w:rPr>
              <w:t>Les diagrammes cinétiques dans les espaces virtuels</w:t>
            </w:r>
          </w:p>
          <w:p w14:paraId="30932BD2" w14:textId="1B2401CF" w:rsidR="006B5D55" w:rsidRPr="006B5D55" w:rsidRDefault="006B5D55" w:rsidP="001D465C">
            <w:pPr>
              <w:rPr>
                <w:rFonts w:ascii="Baskerville" w:hAnsi="Baskerville"/>
                <w:sz w:val="20"/>
                <w:szCs w:val="20"/>
              </w:rPr>
            </w:pPr>
            <w:r w:rsidRPr="006B5D55">
              <w:rPr>
                <w:rFonts w:ascii="Baskerville" w:hAnsi="Baskerville"/>
                <w:sz w:val="20"/>
                <w:szCs w:val="20"/>
              </w:rPr>
              <w:t>Gianmarco Giuliana (Université de Turin)</w:t>
            </w:r>
            <w:r w:rsidR="00583CF9">
              <w:rPr>
                <w:rFonts w:ascii="Baskerville" w:hAnsi="Baskerville"/>
                <w:sz w:val="20"/>
                <w:szCs w:val="20"/>
              </w:rPr>
              <w:t xml:space="preserve"> </w:t>
            </w:r>
            <w:r w:rsidRPr="006B5D55">
              <w:rPr>
                <w:rFonts w:ascii="Baskerville" w:hAnsi="Baskerville"/>
                <w:sz w:val="20"/>
                <w:szCs w:val="20"/>
              </w:rPr>
              <w:t xml:space="preserve">: </w:t>
            </w:r>
            <w:r w:rsidR="00D417C4" w:rsidRPr="00D417C4">
              <w:rPr>
                <w:rFonts w:ascii="Baskerville" w:hAnsi="Baskerville"/>
                <w:i/>
                <w:sz w:val="20"/>
                <w:szCs w:val="20"/>
              </w:rPr>
              <w:t>Sens et expérience de l'espace dans les réalités virtuelles : stratégies de véridiction des lieux numériques entre image, corps et énonciation</w:t>
            </w:r>
          </w:p>
        </w:tc>
      </w:tr>
    </w:tbl>
    <w:p w14:paraId="068C90D7" w14:textId="77777777" w:rsidR="001A38D1" w:rsidRDefault="001A38D1"/>
    <w:sectPr w:rsidR="001A38D1" w:rsidSect="00C16F10">
      <w:pgSz w:w="11901" w:h="16817"/>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0492" w16cex:dateUtc="2021-10-12T10:56:00Z"/>
  <w16cex:commentExtensible w16cex:durableId="251009DE" w16cex:dateUtc="2021-10-12T11:19:00Z"/>
  <w16cex:commentExtensible w16cex:durableId="251005AE" w16cex:dateUtc="2021-10-12T11:01:00Z"/>
  <w16cex:commentExtensible w16cex:durableId="25100665" w16cex:dateUtc="2021-10-12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C686" w14:textId="77777777" w:rsidR="0023226A" w:rsidRDefault="0023226A" w:rsidP="00353D06">
      <w:r>
        <w:separator/>
      </w:r>
    </w:p>
  </w:endnote>
  <w:endnote w:type="continuationSeparator" w:id="0">
    <w:p w14:paraId="54B5AF47" w14:textId="77777777" w:rsidR="0023226A" w:rsidRDefault="0023226A" w:rsidP="0035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E34A" w14:textId="77777777" w:rsidR="0023226A" w:rsidRDefault="0023226A" w:rsidP="00353D06">
      <w:r>
        <w:separator/>
      </w:r>
    </w:p>
  </w:footnote>
  <w:footnote w:type="continuationSeparator" w:id="0">
    <w:p w14:paraId="620EA51F" w14:textId="77777777" w:rsidR="0023226A" w:rsidRDefault="0023226A" w:rsidP="00353D06">
      <w:r>
        <w:continuationSeparator/>
      </w:r>
    </w:p>
  </w:footnote>
  <w:footnote w:id="1">
    <w:p w14:paraId="4E439574" w14:textId="77777777" w:rsidR="005D2CE3" w:rsidRPr="00E70289" w:rsidRDefault="005D2CE3" w:rsidP="009921A4">
      <w:pPr>
        <w:pStyle w:val="Notedebasdepage"/>
        <w:jc w:val="both"/>
        <w:rPr>
          <w:rFonts w:ascii="Garamond" w:hAnsi="Garamond"/>
          <w:lang w:val="fr-CH"/>
        </w:rPr>
      </w:pPr>
      <w:r w:rsidRPr="00E70289">
        <w:rPr>
          <w:rStyle w:val="Appelnotedebasdep"/>
          <w:rFonts w:ascii="Garamond" w:hAnsi="Garamond"/>
        </w:rPr>
        <w:footnoteRef/>
      </w:r>
      <w:r w:rsidRPr="00E70289">
        <w:rPr>
          <w:rFonts w:ascii="Garamond" w:hAnsi="Garamond"/>
        </w:rPr>
        <w:t xml:space="preserve"> </w:t>
      </w:r>
      <w:r w:rsidRPr="00E70289">
        <w:rPr>
          <w:rFonts w:ascii="Garamond" w:hAnsi="Garamond"/>
          <w:lang w:val="fr-CH"/>
        </w:rPr>
        <w:t xml:space="preserve">Denis Bertrand et Jean-François Bordron, « Bilan provisoire du séminaire “Espace et signification, I” (2008-2009), </w:t>
      </w:r>
      <w:r w:rsidRPr="00E70289">
        <w:rPr>
          <w:rFonts w:ascii="Garamond" w:hAnsi="Garamond"/>
          <w:i/>
          <w:lang w:val="fr-CH"/>
        </w:rPr>
        <w:t>Nouveaux Actes Sémiotiques</w:t>
      </w:r>
      <w:r w:rsidRPr="00E70289">
        <w:rPr>
          <w:rFonts w:ascii="Garamond" w:hAnsi="Garamond"/>
          <w:lang w:val="fr-CH"/>
        </w:rPr>
        <w:t>, n. 112.</w:t>
      </w:r>
    </w:p>
  </w:footnote>
  <w:footnote w:id="2">
    <w:p w14:paraId="11C95E68" w14:textId="77777777" w:rsidR="00E70289" w:rsidRPr="00E70289" w:rsidRDefault="00E70289" w:rsidP="009921A4">
      <w:pPr>
        <w:pStyle w:val="Notedebasdepage"/>
        <w:jc w:val="both"/>
        <w:rPr>
          <w:rFonts w:ascii="Garamond" w:hAnsi="Garamond"/>
          <w:lang w:val="fr-CH"/>
        </w:rPr>
      </w:pPr>
      <w:r w:rsidRPr="00E70289">
        <w:rPr>
          <w:rStyle w:val="Appelnotedebasdep"/>
          <w:rFonts w:ascii="Garamond" w:hAnsi="Garamond"/>
        </w:rPr>
        <w:footnoteRef/>
      </w:r>
      <w:r w:rsidRPr="00E70289">
        <w:rPr>
          <w:rFonts w:ascii="Garamond" w:hAnsi="Garamond"/>
        </w:rPr>
        <w:t xml:space="preserve"> </w:t>
      </w:r>
      <w:r w:rsidRPr="00E70289">
        <w:rPr>
          <w:rFonts w:ascii="Garamond" w:hAnsi="Garamond"/>
          <w:lang w:val="fr-CH"/>
        </w:rPr>
        <w:t>Sans vouloir généraliser, on constate la présence symptomatologique d’un malaise : plus les cartes et les monitorages sont nombreux, plus le sentiment de désorientation, de perte de toute possibilité de s’auto-localiser, est grand.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A43"/>
    <w:multiLevelType w:val="hybridMultilevel"/>
    <w:tmpl w:val="84680E14"/>
    <w:lvl w:ilvl="0" w:tplc="710EB5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8B4DE6"/>
    <w:multiLevelType w:val="multilevel"/>
    <w:tmpl w:val="D0EA2196"/>
    <w:lvl w:ilvl="0">
      <w:start w:val="1"/>
      <w:numFmt w:val="decimal"/>
      <w:lvlText w:val="%1."/>
      <w:lvlJc w:val="left"/>
      <w:pPr>
        <w:ind w:left="720" w:hanging="360"/>
      </w:pPr>
      <w:rPr>
        <w:rFonts w:hint="default"/>
      </w:rPr>
    </w:lvl>
    <w:lvl w:ilvl="1">
      <w:start w:val="1"/>
      <w:numFmt w:val="decimal"/>
      <w:pStyle w:val="Signata-Corpsdutexte"/>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7E"/>
    <w:rsid w:val="000442F2"/>
    <w:rsid w:val="000572AB"/>
    <w:rsid w:val="00082159"/>
    <w:rsid w:val="000A1CB4"/>
    <w:rsid w:val="000B3151"/>
    <w:rsid w:val="000B55EF"/>
    <w:rsid w:val="00122073"/>
    <w:rsid w:val="0016655B"/>
    <w:rsid w:val="001A38D1"/>
    <w:rsid w:val="001D3011"/>
    <w:rsid w:val="0021335D"/>
    <w:rsid w:val="0023226A"/>
    <w:rsid w:val="002345F5"/>
    <w:rsid w:val="002401D2"/>
    <w:rsid w:val="0025386B"/>
    <w:rsid w:val="002542E9"/>
    <w:rsid w:val="00272D99"/>
    <w:rsid w:val="00272EDE"/>
    <w:rsid w:val="002977F3"/>
    <w:rsid w:val="002A7C87"/>
    <w:rsid w:val="002F56DC"/>
    <w:rsid w:val="00300477"/>
    <w:rsid w:val="00326DCE"/>
    <w:rsid w:val="00353D06"/>
    <w:rsid w:val="00357FC2"/>
    <w:rsid w:val="003620D1"/>
    <w:rsid w:val="003E7503"/>
    <w:rsid w:val="003F4614"/>
    <w:rsid w:val="004028D7"/>
    <w:rsid w:val="00411BB0"/>
    <w:rsid w:val="004A1DC1"/>
    <w:rsid w:val="004E2182"/>
    <w:rsid w:val="004F0FC6"/>
    <w:rsid w:val="004F2FCC"/>
    <w:rsid w:val="005207BC"/>
    <w:rsid w:val="005251AC"/>
    <w:rsid w:val="00536DE9"/>
    <w:rsid w:val="00561E78"/>
    <w:rsid w:val="00564E42"/>
    <w:rsid w:val="00583CF9"/>
    <w:rsid w:val="005D2CE3"/>
    <w:rsid w:val="005F73BE"/>
    <w:rsid w:val="00620B74"/>
    <w:rsid w:val="00622222"/>
    <w:rsid w:val="00624C5D"/>
    <w:rsid w:val="006254E4"/>
    <w:rsid w:val="00645AB4"/>
    <w:rsid w:val="0066219C"/>
    <w:rsid w:val="0069762D"/>
    <w:rsid w:val="006B5D55"/>
    <w:rsid w:val="006E0141"/>
    <w:rsid w:val="006F7766"/>
    <w:rsid w:val="007718D8"/>
    <w:rsid w:val="00773A3C"/>
    <w:rsid w:val="00786764"/>
    <w:rsid w:val="00794DC2"/>
    <w:rsid w:val="007B17CF"/>
    <w:rsid w:val="007B7636"/>
    <w:rsid w:val="008374E9"/>
    <w:rsid w:val="00837FA0"/>
    <w:rsid w:val="00841AAE"/>
    <w:rsid w:val="00854772"/>
    <w:rsid w:val="0087203A"/>
    <w:rsid w:val="00886D84"/>
    <w:rsid w:val="008C2D57"/>
    <w:rsid w:val="008F7E8C"/>
    <w:rsid w:val="00931FE6"/>
    <w:rsid w:val="00944A17"/>
    <w:rsid w:val="00964E0F"/>
    <w:rsid w:val="0098428F"/>
    <w:rsid w:val="00986C0A"/>
    <w:rsid w:val="009921A4"/>
    <w:rsid w:val="009C747E"/>
    <w:rsid w:val="009C7AD8"/>
    <w:rsid w:val="009D56DE"/>
    <w:rsid w:val="009D6BD1"/>
    <w:rsid w:val="009E1BD4"/>
    <w:rsid w:val="009E5C10"/>
    <w:rsid w:val="00A06D84"/>
    <w:rsid w:val="00A15DF7"/>
    <w:rsid w:val="00A54198"/>
    <w:rsid w:val="00A60E0D"/>
    <w:rsid w:val="00A62427"/>
    <w:rsid w:val="00A70775"/>
    <w:rsid w:val="00A717D3"/>
    <w:rsid w:val="00B37D5F"/>
    <w:rsid w:val="00B51613"/>
    <w:rsid w:val="00B57D29"/>
    <w:rsid w:val="00B716BD"/>
    <w:rsid w:val="00B97003"/>
    <w:rsid w:val="00BB3A19"/>
    <w:rsid w:val="00BC0983"/>
    <w:rsid w:val="00BD0DC9"/>
    <w:rsid w:val="00BF4362"/>
    <w:rsid w:val="00C16F10"/>
    <w:rsid w:val="00C45975"/>
    <w:rsid w:val="00C469AC"/>
    <w:rsid w:val="00C70C53"/>
    <w:rsid w:val="00C8636E"/>
    <w:rsid w:val="00C949E8"/>
    <w:rsid w:val="00CC5C9F"/>
    <w:rsid w:val="00CD4FCE"/>
    <w:rsid w:val="00CE5569"/>
    <w:rsid w:val="00D0650C"/>
    <w:rsid w:val="00D100BB"/>
    <w:rsid w:val="00D16B9C"/>
    <w:rsid w:val="00D40A76"/>
    <w:rsid w:val="00D417C4"/>
    <w:rsid w:val="00D54870"/>
    <w:rsid w:val="00D60CCB"/>
    <w:rsid w:val="00DB44E7"/>
    <w:rsid w:val="00DE4871"/>
    <w:rsid w:val="00E029ED"/>
    <w:rsid w:val="00E24848"/>
    <w:rsid w:val="00E35DE8"/>
    <w:rsid w:val="00E43E21"/>
    <w:rsid w:val="00E70289"/>
    <w:rsid w:val="00E91EBB"/>
    <w:rsid w:val="00E92278"/>
    <w:rsid w:val="00EB288B"/>
    <w:rsid w:val="00EE55E8"/>
    <w:rsid w:val="00EE6BAF"/>
    <w:rsid w:val="00EF0335"/>
    <w:rsid w:val="00EF6F49"/>
    <w:rsid w:val="00F111C7"/>
    <w:rsid w:val="00F43DB4"/>
    <w:rsid w:val="00F478DD"/>
    <w:rsid w:val="00F47977"/>
    <w:rsid w:val="00FD4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185B"/>
  <w15:chartTrackingRefBased/>
  <w15:docId w15:val="{77DF77C8-3919-114A-9AC1-231C699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7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Pulim">
    <w:name w:val="citation Pulim"/>
    <w:basedOn w:val="Normal"/>
    <w:qFormat/>
    <w:rsid w:val="000572AB"/>
    <w:pPr>
      <w:spacing w:before="200" w:after="200"/>
      <w:ind w:left="567" w:right="567"/>
      <w:jc w:val="both"/>
    </w:pPr>
    <w:rPr>
      <w:rFonts w:eastAsia="Times New Roman" w:cstheme="minorHAnsi"/>
      <w:sz w:val="18"/>
      <w:szCs w:val="18"/>
    </w:rPr>
  </w:style>
  <w:style w:type="paragraph" w:customStyle="1" w:styleId="Signata-Corpsdutexte">
    <w:name w:val="Signata - Corps du texte"/>
    <w:basedOn w:val="Normal"/>
    <w:qFormat/>
    <w:rsid w:val="003620D1"/>
    <w:pPr>
      <w:numPr>
        <w:ilvl w:val="1"/>
        <w:numId w:val="1"/>
      </w:numPr>
      <w:jc w:val="both"/>
    </w:pPr>
    <w:rPr>
      <w:rFonts w:ascii="Times New Roman" w:eastAsia="Times New Roman" w:hAnsi="Times New Roman" w:cs="Times New Roman"/>
      <w:sz w:val="22"/>
      <w:szCs w:val="22"/>
      <w:lang w:val="fr-CH"/>
    </w:rPr>
  </w:style>
  <w:style w:type="table" w:styleId="Grilledutableau">
    <w:name w:val="Table Grid"/>
    <w:basedOn w:val="TableauNormal"/>
    <w:uiPriority w:val="59"/>
    <w:rsid w:val="009C747E"/>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53D06"/>
    <w:rPr>
      <w:sz w:val="20"/>
      <w:szCs w:val="20"/>
    </w:rPr>
  </w:style>
  <w:style w:type="character" w:customStyle="1" w:styleId="NotedebasdepageCar">
    <w:name w:val="Note de bas de page Car"/>
    <w:basedOn w:val="Policepardfaut"/>
    <w:link w:val="Notedebasdepage"/>
    <w:uiPriority w:val="99"/>
    <w:semiHidden/>
    <w:rsid w:val="00353D06"/>
    <w:rPr>
      <w:rFonts w:eastAsiaTheme="minorEastAsia"/>
      <w:sz w:val="20"/>
      <w:szCs w:val="20"/>
      <w:lang w:eastAsia="fr-FR"/>
    </w:rPr>
  </w:style>
  <w:style w:type="character" w:styleId="Appelnotedebasdep">
    <w:name w:val="footnote reference"/>
    <w:basedOn w:val="Policepardfaut"/>
    <w:uiPriority w:val="99"/>
    <w:semiHidden/>
    <w:unhideWhenUsed/>
    <w:rsid w:val="00353D06"/>
    <w:rPr>
      <w:vertAlign w:val="superscript"/>
    </w:rPr>
  </w:style>
  <w:style w:type="paragraph" w:styleId="Paragraphedeliste">
    <w:name w:val="List Paragraph"/>
    <w:basedOn w:val="Normal"/>
    <w:uiPriority w:val="34"/>
    <w:qFormat/>
    <w:rsid w:val="00F47977"/>
    <w:pPr>
      <w:ind w:left="720"/>
      <w:contextualSpacing/>
    </w:pPr>
  </w:style>
  <w:style w:type="character" w:customStyle="1" w:styleId="apple-converted-space">
    <w:name w:val="apple-converted-space"/>
    <w:basedOn w:val="Policepardfaut"/>
    <w:rsid w:val="005D2CE3"/>
  </w:style>
  <w:style w:type="character" w:styleId="Marquedecommentaire">
    <w:name w:val="annotation reference"/>
    <w:basedOn w:val="Policepardfaut"/>
    <w:uiPriority w:val="99"/>
    <w:semiHidden/>
    <w:unhideWhenUsed/>
    <w:rsid w:val="0066219C"/>
    <w:rPr>
      <w:sz w:val="16"/>
      <w:szCs w:val="16"/>
    </w:rPr>
  </w:style>
  <w:style w:type="paragraph" w:styleId="Commentaire">
    <w:name w:val="annotation text"/>
    <w:basedOn w:val="Normal"/>
    <w:link w:val="CommentaireCar"/>
    <w:uiPriority w:val="99"/>
    <w:semiHidden/>
    <w:unhideWhenUsed/>
    <w:rsid w:val="0066219C"/>
    <w:rPr>
      <w:sz w:val="20"/>
      <w:szCs w:val="20"/>
    </w:rPr>
  </w:style>
  <w:style w:type="character" w:customStyle="1" w:styleId="CommentaireCar">
    <w:name w:val="Commentaire Car"/>
    <w:basedOn w:val="Policepardfaut"/>
    <w:link w:val="Commentaire"/>
    <w:uiPriority w:val="99"/>
    <w:semiHidden/>
    <w:rsid w:val="0066219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6219C"/>
    <w:rPr>
      <w:b/>
      <w:bCs/>
    </w:rPr>
  </w:style>
  <w:style w:type="character" w:customStyle="1" w:styleId="ObjetducommentaireCar">
    <w:name w:val="Objet du commentaire Car"/>
    <w:basedOn w:val="CommentaireCar"/>
    <w:link w:val="Objetducommentaire"/>
    <w:uiPriority w:val="99"/>
    <w:semiHidden/>
    <w:rsid w:val="0066219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C8636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636E"/>
    <w:rPr>
      <w:rFonts w:ascii="Times New Roman" w:eastAsiaTheme="minorEastAsia" w:hAnsi="Times New Roman" w:cs="Times New Roman"/>
      <w:sz w:val="18"/>
      <w:szCs w:val="18"/>
      <w:lang w:eastAsia="fr-FR"/>
    </w:rPr>
  </w:style>
  <w:style w:type="paragraph" w:styleId="En-tte">
    <w:name w:val="header"/>
    <w:basedOn w:val="Normal"/>
    <w:link w:val="En-tteCar"/>
    <w:uiPriority w:val="99"/>
    <w:unhideWhenUsed/>
    <w:rsid w:val="00964E0F"/>
    <w:pPr>
      <w:tabs>
        <w:tab w:val="center" w:pos="4536"/>
        <w:tab w:val="right" w:pos="9072"/>
      </w:tabs>
    </w:pPr>
  </w:style>
  <w:style w:type="character" w:customStyle="1" w:styleId="En-tteCar">
    <w:name w:val="En-tête Car"/>
    <w:basedOn w:val="Policepardfaut"/>
    <w:link w:val="En-tte"/>
    <w:uiPriority w:val="99"/>
    <w:rsid w:val="00964E0F"/>
    <w:rPr>
      <w:rFonts w:eastAsiaTheme="minorEastAsia"/>
      <w:lang w:eastAsia="fr-FR"/>
    </w:rPr>
  </w:style>
  <w:style w:type="paragraph" w:styleId="Pieddepage">
    <w:name w:val="footer"/>
    <w:basedOn w:val="Normal"/>
    <w:link w:val="PieddepageCar"/>
    <w:uiPriority w:val="99"/>
    <w:unhideWhenUsed/>
    <w:rsid w:val="00964E0F"/>
    <w:pPr>
      <w:tabs>
        <w:tab w:val="center" w:pos="4536"/>
        <w:tab w:val="right" w:pos="9072"/>
      </w:tabs>
    </w:pPr>
  </w:style>
  <w:style w:type="character" w:customStyle="1" w:styleId="PieddepageCar">
    <w:name w:val="Pied de page Car"/>
    <w:basedOn w:val="Policepardfaut"/>
    <w:link w:val="Pieddepage"/>
    <w:uiPriority w:val="99"/>
    <w:rsid w:val="00964E0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836">
      <w:bodyDiv w:val="1"/>
      <w:marLeft w:val="0"/>
      <w:marRight w:val="0"/>
      <w:marTop w:val="0"/>
      <w:marBottom w:val="0"/>
      <w:divBdr>
        <w:top w:val="none" w:sz="0" w:space="0" w:color="auto"/>
        <w:left w:val="none" w:sz="0" w:space="0" w:color="auto"/>
        <w:bottom w:val="none" w:sz="0" w:space="0" w:color="auto"/>
        <w:right w:val="none" w:sz="0" w:space="0" w:color="auto"/>
      </w:divBdr>
      <w:divsChild>
        <w:div w:id="667943812">
          <w:marLeft w:val="0"/>
          <w:marRight w:val="0"/>
          <w:marTop w:val="0"/>
          <w:marBottom w:val="0"/>
          <w:divBdr>
            <w:top w:val="none" w:sz="0" w:space="0" w:color="auto"/>
            <w:left w:val="none" w:sz="0" w:space="0" w:color="auto"/>
            <w:bottom w:val="none" w:sz="0" w:space="0" w:color="auto"/>
            <w:right w:val="none" w:sz="0" w:space="0" w:color="auto"/>
          </w:divBdr>
        </w:div>
        <w:div w:id="35889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7709</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Geslin-Beyaert</cp:lastModifiedBy>
  <cp:revision>2</cp:revision>
  <dcterms:created xsi:type="dcterms:W3CDTF">2021-10-28T09:43:00Z</dcterms:created>
  <dcterms:modified xsi:type="dcterms:W3CDTF">2021-10-28T09:43:00Z</dcterms:modified>
</cp:coreProperties>
</file>