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36" w:rsidRPr="00FB5BC1" w:rsidRDefault="007B4333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9525</wp:posOffset>
            </wp:positionV>
            <wp:extent cx="105727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405" y="21127"/>
                <wp:lineTo x="2140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miot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371475</wp:posOffset>
            </wp:positionV>
            <wp:extent cx="1388745" cy="717550"/>
            <wp:effectExtent l="19050" t="0" r="1905" b="0"/>
            <wp:wrapTight wrapText="bothSides">
              <wp:wrapPolygon edited="0">
                <wp:start x="-296" y="0"/>
                <wp:lineTo x="-296" y="21218"/>
                <wp:lineTo x="21630" y="21218"/>
                <wp:lineTo x="21630" y="0"/>
                <wp:lineTo x="-29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BC1"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228600</wp:posOffset>
            </wp:positionV>
            <wp:extent cx="1004570" cy="984885"/>
            <wp:effectExtent l="0" t="0" r="5080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CAB" w:rsidRPr="00FB5BC1">
        <w:rPr>
          <w:rFonts w:cs="Times New Roman"/>
        </w:rPr>
        <w:t xml:space="preserve"> </w:t>
      </w:r>
      <w:r w:rsidR="006D0C36" w:rsidRPr="00FB5BC1">
        <w:rPr>
          <w:rFonts w:cs="Times New Roman"/>
        </w:rPr>
        <w:t xml:space="preserve">                         </w:t>
      </w:r>
    </w:p>
    <w:p w:rsidR="006D0C36" w:rsidRPr="00FB5BC1" w:rsidRDefault="006D0C36" w:rsidP="00FB5BC1">
      <w:pPr>
        <w:spacing w:after="0" w:line="240" w:lineRule="auto"/>
        <w:jc w:val="both"/>
        <w:rPr>
          <w:rFonts w:cs="Times New Roman"/>
        </w:rPr>
      </w:pPr>
    </w:p>
    <w:p w:rsidR="007B4333" w:rsidRDefault="00FB5BC1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7B4333" w:rsidRDefault="007B4333" w:rsidP="00FB5BC1">
      <w:pPr>
        <w:spacing w:after="0" w:line="240" w:lineRule="auto"/>
        <w:jc w:val="both"/>
        <w:rPr>
          <w:rFonts w:cs="Times New Roman"/>
        </w:rPr>
      </w:pPr>
    </w:p>
    <w:p w:rsidR="007B4333" w:rsidRDefault="007B4333" w:rsidP="00FB5BC1">
      <w:pPr>
        <w:spacing w:after="0" w:line="240" w:lineRule="auto"/>
        <w:jc w:val="both"/>
        <w:rPr>
          <w:rFonts w:cs="Times New Roman"/>
        </w:rPr>
      </w:pPr>
    </w:p>
    <w:p w:rsidR="007B4333" w:rsidRDefault="007B4333" w:rsidP="00FB5BC1">
      <w:pPr>
        <w:spacing w:after="0" w:line="240" w:lineRule="auto"/>
        <w:jc w:val="both"/>
        <w:rPr>
          <w:rFonts w:cs="Times New Roman"/>
        </w:rPr>
      </w:pPr>
    </w:p>
    <w:p w:rsidR="007B4333" w:rsidRDefault="007B4333" w:rsidP="00FB5BC1">
      <w:pPr>
        <w:spacing w:after="0" w:line="240" w:lineRule="auto"/>
        <w:jc w:val="both"/>
        <w:rPr>
          <w:rFonts w:cs="Times New Roman"/>
        </w:rPr>
      </w:pPr>
    </w:p>
    <w:p w:rsidR="00A94CAB" w:rsidRPr="00FB5BC1" w:rsidRDefault="00FB5BC1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A94CAB" w:rsidRPr="00FB5BC1">
        <w:rPr>
          <w:rFonts w:cs="Times New Roman"/>
        </w:rPr>
        <w:t>XI CONGRE</w:t>
      </w:r>
      <w:r w:rsidR="00A13F13" w:rsidRPr="00FB5BC1">
        <w:rPr>
          <w:rFonts w:cs="Times New Roman"/>
        </w:rPr>
        <w:t>S</w:t>
      </w:r>
      <w:r w:rsidR="00A94CAB" w:rsidRPr="00FB5BC1">
        <w:rPr>
          <w:rFonts w:cs="Times New Roman"/>
        </w:rPr>
        <w:t>SO INTERNACIONAL CHILENO DE SEMIÓTICA</w:t>
      </w: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 </w:t>
      </w:r>
    </w:p>
    <w:p w:rsidR="00A94CAB" w:rsidRPr="00FB5BC1" w:rsidRDefault="00FB5BC1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ab/>
      </w:r>
      <w:r w:rsidR="00A94CAB" w:rsidRPr="00FB5BC1">
        <w:rPr>
          <w:rFonts w:cs="Times New Roman"/>
          <w:b/>
          <w:bCs/>
        </w:rPr>
        <w:t xml:space="preserve">SEMIÓTICA E IDENTIDADES EM UM MUNDO </w:t>
      </w:r>
      <w:r w:rsidR="00FD5167" w:rsidRPr="00FB5BC1">
        <w:rPr>
          <w:rFonts w:cs="Times New Roman"/>
          <w:b/>
          <w:bCs/>
        </w:rPr>
        <w:t xml:space="preserve">PLURI </w:t>
      </w:r>
      <w:r w:rsidR="00A94CAB" w:rsidRPr="00FB5BC1">
        <w:rPr>
          <w:rFonts w:cs="Times New Roman"/>
          <w:b/>
          <w:bCs/>
        </w:rPr>
        <w:t xml:space="preserve">DIALÓGICO TRANSTERRITORIAL </w:t>
      </w:r>
    </w:p>
    <w:p w:rsidR="00A94CAB" w:rsidRPr="00FB5BC1" w:rsidRDefault="00FB5BC1" w:rsidP="00FB5BC1">
      <w:p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FD5167" w:rsidRPr="00FB5BC1">
        <w:rPr>
          <w:rFonts w:cs="Times New Roman"/>
          <w:b/>
          <w:bCs/>
        </w:rPr>
        <w:t>4, 5 e</w:t>
      </w:r>
      <w:r w:rsidR="00A94CAB" w:rsidRPr="00FB5BC1">
        <w:rPr>
          <w:rFonts w:cs="Times New Roman"/>
          <w:b/>
          <w:bCs/>
        </w:rPr>
        <w:t xml:space="preserve"> 6 de setembro de 2019 </w:t>
      </w: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</w:p>
    <w:p w:rsidR="00A94CAB" w:rsidRPr="00FB5BC1" w:rsidRDefault="00FB5BC1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94CAB" w:rsidRPr="00FB5BC1">
        <w:rPr>
          <w:rFonts w:cs="Times New Roman"/>
        </w:rPr>
        <w:t xml:space="preserve">Instituto de </w:t>
      </w:r>
      <w:proofErr w:type="spellStart"/>
      <w:r w:rsidR="00A94CAB" w:rsidRPr="00FB5BC1">
        <w:rPr>
          <w:rFonts w:cs="Times New Roman"/>
        </w:rPr>
        <w:t>la</w:t>
      </w:r>
      <w:proofErr w:type="spellEnd"/>
      <w:r w:rsidR="00A94CAB" w:rsidRPr="00FB5BC1">
        <w:rPr>
          <w:rFonts w:cs="Times New Roman"/>
        </w:rPr>
        <w:t xml:space="preserve"> </w:t>
      </w:r>
      <w:proofErr w:type="spellStart"/>
      <w:r w:rsidR="00A94CAB" w:rsidRPr="00FB5BC1">
        <w:rPr>
          <w:rFonts w:cs="Times New Roman"/>
        </w:rPr>
        <w:t>Comunicación</w:t>
      </w:r>
      <w:proofErr w:type="spellEnd"/>
      <w:r w:rsidR="00A94CAB" w:rsidRPr="00FB5BC1">
        <w:rPr>
          <w:rFonts w:cs="Times New Roman"/>
        </w:rPr>
        <w:t xml:space="preserve"> e </w:t>
      </w:r>
      <w:proofErr w:type="spellStart"/>
      <w:r w:rsidR="00A94CAB" w:rsidRPr="00FB5BC1">
        <w:rPr>
          <w:rFonts w:cs="Times New Roman"/>
        </w:rPr>
        <w:t>Imagen</w:t>
      </w:r>
      <w:proofErr w:type="spellEnd"/>
      <w:r w:rsidR="00A94CAB" w:rsidRPr="00FB5BC1">
        <w:rPr>
          <w:rFonts w:cs="Times New Roman"/>
        </w:rPr>
        <w:t xml:space="preserve"> </w:t>
      </w:r>
    </w:p>
    <w:p w:rsidR="00A94CAB" w:rsidRPr="00FB5BC1" w:rsidRDefault="00FB5BC1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94CAB" w:rsidRPr="00FB5BC1">
        <w:rPr>
          <w:rFonts w:cs="Times New Roman"/>
        </w:rPr>
        <w:t xml:space="preserve">Universidad de Chile, Campus Juan Gómez </w:t>
      </w:r>
      <w:proofErr w:type="spellStart"/>
      <w:r w:rsidR="00A94CAB" w:rsidRPr="00FB5BC1">
        <w:rPr>
          <w:rFonts w:cs="Times New Roman"/>
        </w:rPr>
        <w:t>Millas</w:t>
      </w:r>
      <w:proofErr w:type="spellEnd"/>
      <w:r w:rsidR="00A94CAB" w:rsidRPr="00FB5BC1">
        <w:rPr>
          <w:rFonts w:cs="Times New Roman"/>
        </w:rPr>
        <w:t>,</w:t>
      </w:r>
    </w:p>
    <w:p w:rsidR="00A94CAB" w:rsidRPr="00FB5BC1" w:rsidRDefault="00FB5BC1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A94CAB" w:rsidRPr="00FB5BC1">
        <w:rPr>
          <w:rFonts w:cs="Times New Roman"/>
        </w:rPr>
        <w:t>Ñuñoa</w:t>
      </w:r>
      <w:proofErr w:type="spellEnd"/>
      <w:r w:rsidR="00A94CAB" w:rsidRPr="00FB5BC1">
        <w:rPr>
          <w:rFonts w:cs="Times New Roman"/>
        </w:rPr>
        <w:t xml:space="preserve"> (Santiago, Chile) </w:t>
      </w: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</w:p>
    <w:p w:rsidR="00A6537B" w:rsidRPr="00FB5BC1" w:rsidRDefault="004678E0" w:rsidP="00FB5BC1">
      <w:pPr>
        <w:spacing w:after="0" w:line="240" w:lineRule="auto"/>
        <w:jc w:val="both"/>
        <w:rPr>
          <w:rFonts w:cs="Times New Roman"/>
          <w:u w:val="single"/>
        </w:rPr>
      </w:pPr>
      <w:r w:rsidRPr="00FB5BC1">
        <w:rPr>
          <w:rFonts w:cs="Times New Roman"/>
          <w:u w:val="single"/>
        </w:rPr>
        <w:t>SEGUNDA</w:t>
      </w:r>
      <w:r w:rsidR="00A94CAB" w:rsidRPr="00FB5BC1">
        <w:rPr>
          <w:rFonts w:cs="Times New Roman"/>
          <w:u w:val="single"/>
        </w:rPr>
        <w:t xml:space="preserve"> CHAMADA</w:t>
      </w: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</w:p>
    <w:p w:rsidR="00A94CAB" w:rsidRPr="00FB5BC1" w:rsidRDefault="00C04577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ab/>
        <w:t>A As</w:t>
      </w:r>
      <w:r w:rsidR="00A94CAB" w:rsidRPr="00FB5BC1">
        <w:rPr>
          <w:rFonts w:cs="Times New Roman"/>
        </w:rPr>
        <w:t>sociação Chilena de Semiótica e o Instituto de Comunicação e Imagem da Universidade do Chile, convidam a todos para o XI CONGRE</w:t>
      </w:r>
      <w:r w:rsidRPr="00FB5BC1">
        <w:rPr>
          <w:rFonts w:cs="Times New Roman"/>
        </w:rPr>
        <w:t>S</w:t>
      </w:r>
      <w:r w:rsidR="00A94CAB" w:rsidRPr="00FB5BC1">
        <w:rPr>
          <w:rFonts w:cs="Times New Roman"/>
        </w:rPr>
        <w:t>SO INTERNACIONAL CHILENO DE SEMIÓTICA</w:t>
      </w:r>
      <w:r w:rsidRPr="00FB5BC1">
        <w:rPr>
          <w:rFonts w:cs="Times New Roman"/>
        </w:rPr>
        <w:t>, que será realizado</w:t>
      </w:r>
      <w:r w:rsidR="00A94CAB" w:rsidRPr="00FB5BC1">
        <w:rPr>
          <w:rFonts w:cs="Times New Roman"/>
        </w:rPr>
        <w:t xml:space="preserve"> na cidade de Santiago nos dias 4, 5 e 6 de setembro de 2019 tendo como temática: </w:t>
      </w:r>
      <w:r w:rsidR="00A94CAB" w:rsidRPr="00FB5BC1">
        <w:rPr>
          <w:rFonts w:cs="Times New Roman"/>
          <w:i/>
        </w:rPr>
        <w:t xml:space="preserve">Semiótica e Identidades em um mundo </w:t>
      </w:r>
      <w:proofErr w:type="spellStart"/>
      <w:r w:rsidR="00FD5167" w:rsidRPr="00FB5BC1">
        <w:rPr>
          <w:rFonts w:cs="Times New Roman"/>
          <w:i/>
        </w:rPr>
        <w:t>pluri</w:t>
      </w:r>
      <w:proofErr w:type="spellEnd"/>
      <w:r w:rsidR="00FD5167" w:rsidRPr="00FB5BC1">
        <w:rPr>
          <w:rFonts w:cs="Times New Roman"/>
          <w:i/>
        </w:rPr>
        <w:t xml:space="preserve"> </w:t>
      </w:r>
      <w:r w:rsidR="00A94CAB" w:rsidRPr="00FB5BC1">
        <w:rPr>
          <w:rFonts w:cs="Times New Roman"/>
          <w:i/>
        </w:rPr>
        <w:t xml:space="preserve">dialógico </w:t>
      </w:r>
      <w:proofErr w:type="spellStart"/>
      <w:r w:rsidR="00A94CAB" w:rsidRPr="00FB5BC1">
        <w:rPr>
          <w:rFonts w:cs="Times New Roman"/>
          <w:i/>
        </w:rPr>
        <w:t>transterritorial</w:t>
      </w:r>
      <w:proofErr w:type="spellEnd"/>
      <w:r w:rsidR="00A94CAB" w:rsidRPr="00FB5BC1">
        <w:rPr>
          <w:rFonts w:cs="Times New Roman"/>
        </w:rPr>
        <w:t>.</w:t>
      </w: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FUNDAMENTAÇÃO</w:t>
      </w: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</w:p>
    <w:p w:rsidR="00A94CAB" w:rsidRPr="00FB5BC1" w:rsidRDefault="00A94CAB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Os discursos da modernidade </w:t>
      </w:r>
      <w:r w:rsidR="00F04F57" w:rsidRPr="00FB5BC1">
        <w:rPr>
          <w:rFonts w:cs="Times New Roman"/>
        </w:rPr>
        <w:t>e o desenvolvimento conseguiram gerar uma ordem simbólica, um mito de referência, nas palavras de Lévi-Strauss, centrado em conceitos como os de Estado-Nação, Território e identidade única. Hoje</w:t>
      </w:r>
      <w:r w:rsidR="0010236A" w:rsidRPr="00FB5BC1">
        <w:rPr>
          <w:rFonts w:cs="Times New Roman"/>
        </w:rPr>
        <w:t xml:space="preserve"> vemos</w:t>
      </w:r>
      <w:r w:rsidR="00F04F57" w:rsidRPr="00FB5BC1">
        <w:rPr>
          <w:rFonts w:cs="Times New Roman"/>
        </w:rPr>
        <w:t xml:space="preserve"> estes conceitos s</w:t>
      </w:r>
      <w:r w:rsidR="0010236A" w:rsidRPr="00FB5BC1">
        <w:rPr>
          <w:rFonts w:cs="Times New Roman"/>
        </w:rPr>
        <w:t>e destruindo aos poucos por dentro e por fora: por um lado, a globalização econômica e cultural apaga as fronteiras nacionais e as identidades associadas a elas, por outro, a diferença sociocultural cobra mais visibilidade e voz dentro das próprias sociedades nacionais. Uma leitura possível sobre as tensões vividas entre Leste-Oeste, ou do confronto ideológico capitalismo-comunismo como eixo de alienação global, outorgam maior presença e força a conflitos e divisões de outra natureza. Por exemplo, nacionalismos xenofóbicos, fundamentalismos religiosos e conflitos étnicos</w:t>
      </w:r>
      <w:r w:rsidR="00D13802" w:rsidRPr="00FB5BC1">
        <w:rPr>
          <w:rFonts w:cs="Times New Roman"/>
        </w:rPr>
        <w:t xml:space="preserve"> que</w:t>
      </w:r>
      <w:r w:rsidR="00013099" w:rsidRPr="00FB5BC1">
        <w:rPr>
          <w:rFonts w:cs="Times New Roman"/>
        </w:rPr>
        <w:t xml:space="preserve"> vêm à tona através dos meios de comunicação</w:t>
      </w:r>
      <w:r w:rsidR="00D13802" w:rsidRPr="00FB5BC1">
        <w:rPr>
          <w:rFonts w:cs="Times New Roman"/>
        </w:rPr>
        <w:t>, o</w:t>
      </w:r>
      <w:r w:rsidR="00013099" w:rsidRPr="00FB5BC1">
        <w:rPr>
          <w:rFonts w:cs="Times New Roman"/>
        </w:rPr>
        <w:t>s</w:t>
      </w:r>
      <w:r w:rsidR="00D13802" w:rsidRPr="00FB5BC1">
        <w:rPr>
          <w:rFonts w:cs="Times New Roman"/>
        </w:rPr>
        <w:t xml:space="preserve"> qua</w:t>
      </w:r>
      <w:r w:rsidR="00013099" w:rsidRPr="00FB5BC1">
        <w:rPr>
          <w:rFonts w:cs="Times New Roman"/>
        </w:rPr>
        <w:t>is</w:t>
      </w:r>
      <w:r w:rsidR="00D13802" w:rsidRPr="00FB5BC1">
        <w:rPr>
          <w:rFonts w:cs="Times New Roman"/>
        </w:rPr>
        <w:t xml:space="preserve"> torna</w:t>
      </w:r>
      <w:r w:rsidR="00013099" w:rsidRPr="00FB5BC1">
        <w:rPr>
          <w:rFonts w:cs="Times New Roman"/>
        </w:rPr>
        <w:t>m visível</w:t>
      </w:r>
      <w:r w:rsidR="00D13802" w:rsidRPr="00FB5BC1">
        <w:rPr>
          <w:rFonts w:cs="Times New Roman"/>
        </w:rPr>
        <w:t xml:space="preserve"> seu protagonismo na política nacional e internacional. Tal cenário </w:t>
      </w:r>
      <w:r w:rsidR="006F7BC2" w:rsidRPr="00FB5BC1">
        <w:rPr>
          <w:rFonts w:cs="Times New Roman"/>
        </w:rPr>
        <w:t>é reforçado</w:t>
      </w:r>
      <w:r w:rsidR="00D13802" w:rsidRPr="00FB5BC1">
        <w:rPr>
          <w:rFonts w:cs="Times New Roman"/>
        </w:rPr>
        <w:t xml:space="preserve"> na preocupação</w:t>
      </w:r>
      <w:r w:rsidR="00B63C87" w:rsidRPr="00FB5BC1">
        <w:rPr>
          <w:rFonts w:cs="Times New Roman"/>
        </w:rPr>
        <w:t xml:space="preserve"> dos povos, assim como também no meio acadêmico</w:t>
      </w:r>
      <w:r w:rsidR="00D13802" w:rsidRPr="00FB5BC1">
        <w:rPr>
          <w:rFonts w:cs="Times New Roman"/>
        </w:rPr>
        <w:t>.</w:t>
      </w:r>
    </w:p>
    <w:p w:rsidR="006F7BC2" w:rsidRPr="00FB5BC1" w:rsidRDefault="006F7BC2" w:rsidP="00FB5BC1">
      <w:pPr>
        <w:spacing w:after="0" w:line="240" w:lineRule="auto"/>
        <w:jc w:val="both"/>
        <w:rPr>
          <w:rFonts w:cs="Times New Roman"/>
        </w:rPr>
      </w:pPr>
    </w:p>
    <w:p w:rsidR="006F7BC2" w:rsidRPr="00FB5BC1" w:rsidRDefault="00B63C87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O fim dos reais socialismos tem ido acompanhado, tanto na Ex União Soviética como na Europa Oriental, de nacionalismos fortes que, de alguma maneira, constituem “dívidas” culturais e políticas de longa data.</w:t>
      </w:r>
      <w:r w:rsidR="0090443C" w:rsidRPr="00FB5BC1">
        <w:rPr>
          <w:rFonts w:cs="Times New Roman"/>
        </w:rPr>
        <w:t xml:space="preserve"> Por outro lado, lamentavelmente, estas din</w:t>
      </w:r>
      <w:r w:rsidR="000D52E9" w:rsidRPr="00FB5BC1">
        <w:rPr>
          <w:rFonts w:cs="Times New Roman"/>
        </w:rPr>
        <w:t>âmicas vão acompanhadas de guerras</w:t>
      </w:r>
      <w:r w:rsidR="0090443C" w:rsidRPr="00FB5BC1">
        <w:rPr>
          <w:rFonts w:cs="Times New Roman"/>
        </w:rPr>
        <w:t xml:space="preserve"> sangrentas entre nações emergentes,</w:t>
      </w:r>
      <w:r w:rsidR="000D52E9" w:rsidRPr="00FB5BC1">
        <w:rPr>
          <w:rFonts w:cs="Times New Roman"/>
        </w:rPr>
        <w:t xml:space="preserve"> o qual revitaliza a </w:t>
      </w:r>
      <w:r w:rsidR="00D74AD4" w:rsidRPr="00FB5BC1">
        <w:rPr>
          <w:rFonts w:cs="Times New Roman"/>
        </w:rPr>
        <w:t xml:space="preserve">triste dimensão identitária, como por exemplo, a discriminação racial e inclusive os projetos de “limpeza étnica”. Mesmo assim, a transterritorialidade é um fenômeno de caráter espacial, mas também lingüístico, cultural, político. Particularmente, desde </w:t>
      </w:r>
      <w:r w:rsidR="00A93E36" w:rsidRPr="00FB5BC1">
        <w:rPr>
          <w:rFonts w:cs="Times New Roman"/>
        </w:rPr>
        <w:t xml:space="preserve">territórios em </w:t>
      </w:r>
      <w:r w:rsidR="004718B9" w:rsidRPr="00FB5BC1">
        <w:rPr>
          <w:rFonts w:cs="Times New Roman"/>
        </w:rPr>
        <w:t>constantes mudanças</w:t>
      </w:r>
      <w:r w:rsidR="00A93E36" w:rsidRPr="00FB5BC1">
        <w:rPr>
          <w:rFonts w:cs="Times New Roman"/>
        </w:rPr>
        <w:t xml:space="preserve">, se observa y </w:t>
      </w:r>
      <w:r w:rsidR="004718B9" w:rsidRPr="00FB5BC1">
        <w:rPr>
          <w:rFonts w:cs="Times New Roman"/>
        </w:rPr>
        <w:t>compartilha</w:t>
      </w:r>
      <w:r w:rsidR="00A93E36" w:rsidRPr="00FB5BC1">
        <w:rPr>
          <w:rFonts w:cs="Times New Roman"/>
        </w:rPr>
        <w:t xml:space="preserve"> um universo com outros sujeitos transterritorializados</w:t>
      </w:r>
      <w:r w:rsidR="0097187C" w:rsidRPr="00FB5BC1">
        <w:rPr>
          <w:rFonts w:cs="Times New Roman"/>
        </w:rPr>
        <w:t xml:space="preserve"> que hoje nos </w:t>
      </w:r>
      <w:proofErr w:type="spellStart"/>
      <w:r w:rsidR="0097187C" w:rsidRPr="00FB5BC1">
        <w:rPr>
          <w:rFonts w:cs="Times New Roman"/>
        </w:rPr>
        <w:t>pre-ocupam</w:t>
      </w:r>
      <w:proofErr w:type="spellEnd"/>
      <w:r w:rsidR="00A93E36" w:rsidRPr="00FB5BC1">
        <w:rPr>
          <w:rFonts w:cs="Times New Roman"/>
        </w:rPr>
        <w:t xml:space="preserve"> e </w:t>
      </w:r>
      <w:r w:rsidR="0097187C" w:rsidRPr="00FB5BC1">
        <w:rPr>
          <w:rFonts w:cs="Times New Roman"/>
        </w:rPr>
        <w:t>ocupam</w:t>
      </w:r>
      <w:r w:rsidR="00A93E36" w:rsidRPr="00FB5BC1">
        <w:rPr>
          <w:rFonts w:cs="Times New Roman"/>
        </w:rPr>
        <w:t xml:space="preserve"> em sua constituição e relações. A convergência tecnológica, as multiplataformas de uso cotidiano devido ao seu barateamento de custos de equipamentos têm permitido a referência múltipla da sociedade em redes, tornando possível a identificação desde o Não-Lugar, tal como o descrito por Marc Augé.</w:t>
      </w:r>
    </w:p>
    <w:p w:rsidR="006C1C61" w:rsidRPr="00FB5BC1" w:rsidRDefault="006C1C61" w:rsidP="00FB5BC1">
      <w:pPr>
        <w:spacing w:after="0" w:line="240" w:lineRule="auto"/>
        <w:jc w:val="both"/>
        <w:rPr>
          <w:rFonts w:cs="Times New Roman"/>
        </w:rPr>
      </w:pPr>
    </w:p>
    <w:p w:rsidR="006C1C61" w:rsidRPr="00FB5BC1" w:rsidRDefault="006C1C61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De um ponto de vista semiótico, a discussão entre uma cultura global e culturas locais mostra como estes processos dão lugar ao estabelecimento de diversas identidades e múltiplas capacidades de ação. Por exemplo, em matéria de territórios e identidades na América Latina, os últimos trinta anos têm </w:t>
      </w:r>
      <w:r w:rsidRPr="00FB5BC1">
        <w:rPr>
          <w:rFonts w:cs="Times New Roman"/>
        </w:rPr>
        <w:lastRenderedPageBreak/>
        <w:t>sido marcados pela “re-eme</w:t>
      </w:r>
      <w:r w:rsidR="0043463D" w:rsidRPr="00FB5BC1">
        <w:rPr>
          <w:rFonts w:cs="Times New Roman"/>
        </w:rPr>
        <w:t>r</w:t>
      </w:r>
      <w:r w:rsidRPr="00FB5BC1">
        <w:rPr>
          <w:rFonts w:cs="Times New Roman"/>
        </w:rPr>
        <w:t xml:space="preserve">gência” indígena, </w:t>
      </w:r>
      <w:r w:rsidR="0043463D" w:rsidRPr="00FB5BC1">
        <w:rPr>
          <w:rFonts w:cs="Times New Roman"/>
        </w:rPr>
        <w:t>pelos imaginários e novas identidades políticas e culturais associadas a isso. Daí a importância de entender o caráter cosmopolita dos sujeitos sociais detentores de crenças, normas e valores de diversas culturas locais, ao mesmo tempo em que estão imersos na experiência de elementos compartilhados/globalizados.</w:t>
      </w:r>
    </w:p>
    <w:p w:rsidR="00DA069B" w:rsidRPr="00FB5BC1" w:rsidRDefault="00DA069B" w:rsidP="00FB5BC1">
      <w:pPr>
        <w:spacing w:after="0" w:line="240" w:lineRule="auto"/>
        <w:jc w:val="both"/>
        <w:rPr>
          <w:rFonts w:cs="Times New Roman"/>
        </w:rPr>
      </w:pPr>
    </w:p>
    <w:p w:rsidR="00DA069B" w:rsidRPr="00FB5BC1" w:rsidRDefault="00DA069B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As tensões descritas se encontram na raiz dos processos de difusão global de sistemas de produção material</w:t>
      </w:r>
      <w:r w:rsidR="00B0149B" w:rsidRPr="00FB5BC1">
        <w:rPr>
          <w:rFonts w:cs="Times New Roman"/>
        </w:rPr>
        <w:t>, os que levam inseparáveis processos de reprodução e modificação de códigos sociais, ou de maneira geral, culturais.</w:t>
      </w:r>
      <w:r w:rsidR="009F36B4" w:rsidRPr="00FB5BC1">
        <w:rPr>
          <w:rFonts w:cs="Times New Roman"/>
        </w:rPr>
        <w:t xml:space="preserve"> A travessia delineada</w:t>
      </w:r>
      <w:r w:rsidR="001D14C3" w:rsidRPr="00FB5BC1">
        <w:rPr>
          <w:rFonts w:cs="Times New Roman"/>
        </w:rPr>
        <w:t xml:space="preserve"> requer a revalorização </w:t>
      </w:r>
      <w:r w:rsidR="009F36B4" w:rsidRPr="00FB5BC1">
        <w:rPr>
          <w:rFonts w:cs="Times New Roman"/>
        </w:rPr>
        <w:t xml:space="preserve">da semiótica como intra e trans-textual. A semiótica poderia ser percebida como um espaço </w:t>
      </w:r>
      <w:r w:rsidR="003F15E9" w:rsidRPr="00FB5BC1">
        <w:rPr>
          <w:rFonts w:cs="Times New Roman"/>
        </w:rPr>
        <w:t>trans</w:t>
      </w:r>
      <w:r w:rsidR="009F36B4" w:rsidRPr="00FB5BC1">
        <w:rPr>
          <w:rFonts w:cs="Times New Roman"/>
        </w:rPr>
        <w:t>territorial do saber de interconexões heurísticas. Através da história existiram e existem semióticos que, sem saber ou sabendo pouco, têm sido construtores de um olhar atento sobre o mundo</w:t>
      </w:r>
      <w:r w:rsidR="00E13786" w:rsidRPr="00FB5BC1">
        <w:rPr>
          <w:rFonts w:cs="Times New Roman"/>
        </w:rPr>
        <w:t>,</w:t>
      </w:r>
      <w:r w:rsidR="009F36B4" w:rsidRPr="00FB5BC1">
        <w:rPr>
          <w:rFonts w:cs="Times New Roman"/>
        </w:rPr>
        <w:t xml:space="preserve"> que têm reunido a teoria e a sensibilidade, ou seja, têm feito uso de uma </w:t>
      </w:r>
      <w:r w:rsidR="00012FB7" w:rsidRPr="00FB5BC1">
        <w:rPr>
          <w:rFonts w:cs="Times New Roman"/>
        </w:rPr>
        <w:t>racionalidade, no dizer de Peirce ou da contradição de funcionamento dos sistemas no aporte de René Thom.</w:t>
      </w:r>
    </w:p>
    <w:p w:rsidR="0092796B" w:rsidRPr="00FB5BC1" w:rsidRDefault="0092796B" w:rsidP="00FB5BC1">
      <w:pPr>
        <w:spacing w:after="0" w:line="240" w:lineRule="auto"/>
        <w:jc w:val="both"/>
        <w:rPr>
          <w:rFonts w:cs="Times New Roman"/>
        </w:rPr>
      </w:pPr>
    </w:p>
    <w:p w:rsidR="0092796B" w:rsidRPr="00FB5BC1" w:rsidRDefault="0092796B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Desde esse mundo há que se </w:t>
      </w:r>
      <w:r w:rsidR="007E66BB" w:rsidRPr="00FB5BC1">
        <w:rPr>
          <w:rFonts w:cs="Times New Roman"/>
        </w:rPr>
        <w:t>reivindicarem</w:t>
      </w:r>
      <w:r w:rsidRPr="00FB5BC1">
        <w:rPr>
          <w:rFonts w:cs="Times New Roman"/>
        </w:rPr>
        <w:t xml:space="preserve"> olhares como os de Kristeva, Eco, Barthes, </w:t>
      </w:r>
      <w:proofErr w:type="spellStart"/>
      <w:r w:rsidR="00766781">
        <w:rPr>
          <w:rFonts w:cs="Times New Roman"/>
        </w:rPr>
        <w:t>Greimas</w:t>
      </w:r>
      <w:proofErr w:type="spellEnd"/>
      <w:r w:rsidR="00766781">
        <w:rPr>
          <w:rFonts w:cs="Times New Roman"/>
        </w:rPr>
        <w:t xml:space="preserve">, </w:t>
      </w:r>
      <w:proofErr w:type="spellStart"/>
      <w:r w:rsidRPr="00FB5BC1">
        <w:rPr>
          <w:rFonts w:cs="Times New Roman"/>
        </w:rPr>
        <w:t>Lotman</w:t>
      </w:r>
      <w:proofErr w:type="spellEnd"/>
      <w:r w:rsidRPr="00FB5BC1">
        <w:rPr>
          <w:rFonts w:cs="Times New Roman"/>
        </w:rPr>
        <w:t xml:space="preserve">, </w:t>
      </w:r>
      <w:proofErr w:type="spellStart"/>
      <w:r w:rsidRPr="00FB5BC1">
        <w:rPr>
          <w:rFonts w:cs="Times New Roman"/>
        </w:rPr>
        <w:t>Peirce</w:t>
      </w:r>
      <w:proofErr w:type="spellEnd"/>
      <w:r w:rsidRPr="00FB5BC1">
        <w:rPr>
          <w:rFonts w:cs="Times New Roman"/>
        </w:rPr>
        <w:t xml:space="preserve"> entre outros, andarilhos</w:t>
      </w:r>
      <w:r w:rsidR="007E66BB" w:rsidRPr="00FB5BC1">
        <w:rPr>
          <w:rFonts w:cs="Times New Roman"/>
        </w:rPr>
        <w:t xml:space="preserve"> da textualidade, segundo </w:t>
      </w:r>
      <w:proofErr w:type="spellStart"/>
      <w:r w:rsidR="007E66BB" w:rsidRPr="00FB5BC1">
        <w:rPr>
          <w:rFonts w:cs="Times New Roman"/>
        </w:rPr>
        <w:t>Mangie</w:t>
      </w:r>
      <w:r w:rsidRPr="00FB5BC1">
        <w:rPr>
          <w:rFonts w:cs="Times New Roman"/>
        </w:rPr>
        <w:t>ri</w:t>
      </w:r>
      <w:proofErr w:type="spellEnd"/>
      <w:r w:rsidRPr="00FB5BC1">
        <w:rPr>
          <w:rFonts w:cs="Times New Roman"/>
        </w:rPr>
        <w:t xml:space="preserve">, ou como </w:t>
      </w:r>
      <w:r w:rsidR="00B57C5D" w:rsidRPr="00FB5BC1">
        <w:rPr>
          <w:rFonts w:cs="Times New Roman"/>
        </w:rPr>
        <w:t>já</w:t>
      </w:r>
      <w:r w:rsidRPr="00FB5BC1">
        <w:rPr>
          <w:rFonts w:cs="Times New Roman"/>
        </w:rPr>
        <w:t xml:space="preserve"> dizia Verón, semióticos que não puderam </w:t>
      </w:r>
      <w:r w:rsidR="005A1BC3" w:rsidRPr="00FB5BC1">
        <w:rPr>
          <w:rFonts w:cs="Times New Roman"/>
        </w:rPr>
        <w:t>enquadrar-se</w:t>
      </w:r>
      <w:r w:rsidR="00B57C5D" w:rsidRPr="00FB5BC1">
        <w:rPr>
          <w:rFonts w:cs="Times New Roman"/>
        </w:rPr>
        <w:t xml:space="preserve"> em</w:t>
      </w:r>
      <w:r w:rsidRPr="00FB5BC1">
        <w:rPr>
          <w:rFonts w:cs="Times New Roman"/>
        </w:rPr>
        <w:t xml:space="preserve"> um único modelo m</w:t>
      </w:r>
      <w:r w:rsidR="00DF262F" w:rsidRPr="00FB5BC1">
        <w:rPr>
          <w:rFonts w:cs="Times New Roman"/>
        </w:rPr>
        <w:t>e</w:t>
      </w:r>
      <w:r w:rsidRPr="00FB5BC1">
        <w:rPr>
          <w:rFonts w:cs="Times New Roman"/>
        </w:rPr>
        <w:t xml:space="preserve">tateórico </w:t>
      </w:r>
      <w:r w:rsidR="007E66BB" w:rsidRPr="00FB5BC1">
        <w:rPr>
          <w:rFonts w:cs="Times New Roman"/>
        </w:rPr>
        <w:t>e que justamente através de uma espécie de semiótica transterritorial podem apresentar âmbitos ocultos do saber científico e a riqueza inavaliável da cultura e do mundo, em palavras de Arendt. Daí surge a urgência de trabalhar para que a semiótica retome sua função de liderar a inter-relação entre as ciências e as artes</w:t>
      </w:r>
      <w:r w:rsidR="001F6650" w:rsidRPr="00FB5BC1">
        <w:rPr>
          <w:rFonts w:cs="Times New Roman"/>
        </w:rPr>
        <w:t>, como corrente propícia para a geração de conhecimento, o que consequentemente traga a implicação política e epistêmica que o processo de pensar requer. Mas além da primeira semiótica marcada pelas disputas teóricas do texto fechado (Greimas) ou aberto (Eco), hoje</w:t>
      </w:r>
      <w:r w:rsidR="009B2797" w:rsidRPr="00FB5BC1">
        <w:rPr>
          <w:rFonts w:cs="Times New Roman"/>
        </w:rPr>
        <w:t xml:space="preserve"> a realidade é o ponto de partida, e a partir daí tudo é possível neste espaço analítico, pois é o real que fala e não o dispositivo analítico que exemplifica com o real. Para isto é necessário retomar a urgência do pensar e re-situar as atividades intelectuais</w:t>
      </w:r>
      <w:r w:rsidR="0091287A" w:rsidRPr="00FB5BC1">
        <w:rPr>
          <w:rFonts w:cs="Times New Roman"/>
        </w:rPr>
        <w:t xml:space="preserve"> n</w:t>
      </w:r>
      <w:r w:rsidR="00DF262F" w:rsidRPr="00FB5BC1">
        <w:rPr>
          <w:rFonts w:cs="Times New Roman"/>
        </w:rPr>
        <w:t>o seio dos assuntos humanos. No</w:t>
      </w:r>
      <w:r w:rsidR="0091287A" w:rsidRPr="00FB5BC1">
        <w:rPr>
          <w:rFonts w:cs="Times New Roman"/>
        </w:rPr>
        <w:t xml:space="preserve"> contexto das sociedades em redes e da travessia por esses caminhos tensos, se torna importante estabelecer o trabalho</w:t>
      </w:r>
      <w:r w:rsidR="00E07B97" w:rsidRPr="00FB5BC1">
        <w:rPr>
          <w:rFonts w:cs="Times New Roman"/>
        </w:rPr>
        <w:t xml:space="preserve"> da disciplina na re-coleção e na comunicação das pesquisas realizadas no domínio semiótico sobre tais processos de construção de identidades em contexto de transterritorialidade. O último implica se </w:t>
      </w:r>
      <w:r w:rsidR="005A1BC3" w:rsidRPr="00FB5BC1">
        <w:rPr>
          <w:rFonts w:cs="Times New Roman"/>
        </w:rPr>
        <w:t>detiver</w:t>
      </w:r>
      <w:r w:rsidR="00E07B97" w:rsidRPr="00FB5BC1">
        <w:rPr>
          <w:rFonts w:cs="Times New Roman"/>
        </w:rPr>
        <w:t xml:space="preserve"> tanto nos dispositivos teórico-metodológicos para enfrentar certos desafios como nas descrições do objeto real mesmo, se detendo à pragmática.</w:t>
      </w: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</w:rPr>
      </w:pP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DATAS IMPORTANTES</w:t>
      </w: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9E7833" w:rsidRPr="00FB5BC1" w:rsidTr="009E7833">
        <w:tc>
          <w:tcPr>
            <w:tcW w:w="4605" w:type="dxa"/>
          </w:tcPr>
          <w:p w:rsidR="009E7833" w:rsidRPr="00FB5BC1" w:rsidRDefault="009E7833" w:rsidP="00FB5BC1">
            <w:pPr>
              <w:jc w:val="both"/>
              <w:rPr>
                <w:rFonts w:cs="Times New Roman"/>
              </w:rPr>
            </w:pPr>
            <w:r w:rsidRPr="00FB5BC1">
              <w:rPr>
                <w:rFonts w:cs="Times New Roman"/>
              </w:rPr>
              <w:t>Envio de resumos</w:t>
            </w:r>
          </w:p>
        </w:tc>
        <w:tc>
          <w:tcPr>
            <w:tcW w:w="4606" w:type="dxa"/>
          </w:tcPr>
          <w:p w:rsidR="009E7833" w:rsidRPr="00FB5BC1" w:rsidRDefault="005D7301" w:rsidP="00FB5BC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Até 30</w:t>
            </w:r>
            <w:r w:rsidR="009E7833" w:rsidRPr="00FB5BC1">
              <w:rPr>
                <w:rFonts w:cs="Times New Roman"/>
              </w:rPr>
              <w:t xml:space="preserve"> </w:t>
            </w:r>
            <w:r w:rsidR="00F9100B" w:rsidRPr="00FB5BC1">
              <w:rPr>
                <w:rFonts w:cs="Times New Roman"/>
              </w:rPr>
              <w:t>de junho</w:t>
            </w:r>
            <w:r w:rsidR="009E7833" w:rsidRPr="00FB5BC1">
              <w:rPr>
                <w:rFonts w:cs="Times New Roman"/>
              </w:rPr>
              <w:t xml:space="preserve"> de 2019</w:t>
            </w:r>
          </w:p>
        </w:tc>
      </w:tr>
      <w:tr w:rsidR="009E7833" w:rsidRPr="00FB5BC1" w:rsidTr="009E7833">
        <w:tc>
          <w:tcPr>
            <w:tcW w:w="4605" w:type="dxa"/>
          </w:tcPr>
          <w:p w:rsidR="009E7833" w:rsidRPr="00FB5BC1" w:rsidRDefault="009E7833" w:rsidP="00FB5BC1">
            <w:pPr>
              <w:jc w:val="both"/>
              <w:rPr>
                <w:rFonts w:cs="Times New Roman"/>
              </w:rPr>
            </w:pPr>
            <w:r w:rsidRPr="00FB5BC1">
              <w:rPr>
                <w:rFonts w:cs="Times New Roman"/>
              </w:rPr>
              <w:t>Notificação de aceite</w:t>
            </w:r>
          </w:p>
        </w:tc>
        <w:tc>
          <w:tcPr>
            <w:tcW w:w="4606" w:type="dxa"/>
          </w:tcPr>
          <w:p w:rsidR="009E7833" w:rsidRPr="00FB5BC1" w:rsidRDefault="00766781" w:rsidP="00FB5BC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 de junho a 30</w:t>
            </w:r>
            <w:r w:rsidR="00414BE1" w:rsidRPr="00FB5BC1">
              <w:rPr>
                <w:rFonts w:cs="Times New Roman"/>
              </w:rPr>
              <w:t xml:space="preserve"> de julho 2019</w:t>
            </w:r>
          </w:p>
        </w:tc>
      </w:tr>
      <w:tr w:rsidR="009E7833" w:rsidRPr="00FB5BC1" w:rsidTr="009E7833">
        <w:tc>
          <w:tcPr>
            <w:tcW w:w="4605" w:type="dxa"/>
          </w:tcPr>
          <w:p w:rsidR="009E7833" w:rsidRPr="00FB5BC1" w:rsidRDefault="00BE0C75" w:rsidP="00FB5BC1">
            <w:pPr>
              <w:jc w:val="both"/>
              <w:rPr>
                <w:rFonts w:cs="Times New Roman"/>
              </w:rPr>
            </w:pPr>
            <w:r w:rsidRPr="00FB5BC1">
              <w:rPr>
                <w:rFonts w:cs="Times New Roman"/>
              </w:rPr>
              <w:t>Envio da</w:t>
            </w:r>
            <w:r w:rsidR="009E7833" w:rsidRPr="00FB5BC1">
              <w:rPr>
                <w:rFonts w:cs="Times New Roman"/>
              </w:rPr>
              <w:t xml:space="preserve"> programação final aos participantes</w:t>
            </w:r>
          </w:p>
        </w:tc>
        <w:tc>
          <w:tcPr>
            <w:tcW w:w="4606" w:type="dxa"/>
          </w:tcPr>
          <w:p w:rsidR="009E7833" w:rsidRPr="00FB5BC1" w:rsidRDefault="009E7833" w:rsidP="00FB5BC1">
            <w:pPr>
              <w:jc w:val="both"/>
              <w:rPr>
                <w:rFonts w:cs="Times New Roman"/>
              </w:rPr>
            </w:pPr>
            <w:r w:rsidRPr="00FB5BC1">
              <w:rPr>
                <w:rFonts w:cs="Times New Roman"/>
              </w:rPr>
              <w:t>16 de agosto 2019</w:t>
            </w:r>
          </w:p>
        </w:tc>
      </w:tr>
      <w:tr w:rsidR="009E7833" w:rsidRPr="00FB5BC1" w:rsidTr="009E7833">
        <w:tc>
          <w:tcPr>
            <w:tcW w:w="4605" w:type="dxa"/>
          </w:tcPr>
          <w:p w:rsidR="009E7833" w:rsidRPr="00FB5BC1" w:rsidRDefault="009E7833" w:rsidP="00FB5BC1">
            <w:pPr>
              <w:jc w:val="both"/>
              <w:rPr>
                <w:rFonts w:cs="Times New Roman"/>
              </w:rPr>
            </w:pPr>
            <w:r w:rsidRPr="00FB5BC1">
              <w:rPr>
                <w:rFonts w:cs="Times New Roman"/>
              </w:rPr>
              <w:t>Realização do congresso</w:t>
            </w:r>
          </w:p>
        </w:tc>
        <w:tc>
          <w:tcPr>
            <w:tcW w:w="4606" w:type="dxa"/>
          </w:tcPr>
          <w:p w:rsidR="009E7833" w:rsidRPr="00FB5BC1" w:rsidRDefault="009E7833" w:rsidP="00FB5BC1">
            <w:pPr>
              <w:jc w:val="both"/>
              <w:rPr>
                <w:rFonts w:cs="Times New Roman"/>
              </w:rPr>
            </w:pPr>
            <w:r w:rsidRPr="00FB5BC1">
              <w:rPr>
                <w:rFonts w:cs="Times New Roman"/>
              </w:rPr>
              <w:t>4, 5 e 6 de setembro de 2019</w:t>
            </w:r>
          </w:p>
        </w:tc>
      </w:tr>
    </w:tbl>
    <w:p w:rsidR="009E7833" w:rsidRPr="00FB5BC1" w:rsidRDefault="009E7833" w:rsidP="00FB5BC1">
      <w:pPr>
        <w:spacing w:after="0" w:line="240" w:lineRule="auto"/>
        <w:jc w:val="both"/>
        <w:rPr>
          <w:rFonts w:cs="Times New Roman"/>
        </w:rPr>
      </w:pP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EIXOS TEMÁTICOS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transdisciplinariedade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Cognição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da Convergência Tecnológica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Semiótica, Discurso e Ideologia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da Migração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Meios de Comunicação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Território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da Educação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das Artes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da Religião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dos Movimentos Sociais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lastRenderedPageBreak/>
        <w:t>Semiótica do Corpo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do Design e Publicidade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Gênero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Literatura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da Música</w:t>
      </w:r>
    </w:p>
    <w:p w:rsidR="009E7833" w:rsidRPr="00FB5BC1" w:rsidRDefault="009E7833" w:rsidP="00FB5B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Semiótica e Intercu</w:t>
      </w:r>
      <w:r w:rsidR="00B57C5D" w:rsidRPr="00FB5BC1">
        <w:rPr>
          <w:rFonts w:cs="Times New Roman"/>
        </w:rPr>
        <w:t>l</w:t>
      </w:r>
      <w:r w:rsidRPr="00FB5BC1">
        <w:rPr>
          <w:rFonts w:cs="Times New Roman"/>
        </w:rPr>
        <w:t>turalidade</w:t>
      </w: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</w:rPr>
      </w:pP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RESUMOS</w:t>
      </w: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</w:rPr>
      </w:pPr>
    </w:p>
    <w:p w:rsidR="009E7833" w:rsidRPr="00FB5BC1" w:rsidRDefault="009E7833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Os resumos dos trabalhos, sejam de pesquisas já concluídas ou que estão em desenvolvimento, devem incluir os seguintes dados:</w:t>
      </w:r>
    </w:p>
    <w:p w:rsidR="009E7833" w:rsidRPr="00FB5BC1" w:rsidRDefault="009E7833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Título</w:t>
      </w:r>
      <w:r w:rsidR="00D944D5" w:rsidRPr="00FB5BC1">
        <w:rPr>
          <w:rFonts w:cs="Times New Roman"/>
        </w:rPr>
        <w:t>;</w:t>
      </w:r>
    </w:p>
    <w:p w:rsidR="009E7833" w:rsidRPr="00FB5BC1" w:rsidRDefault="00D944D5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Nome completo de </w:t>
      </w:r>
      <w:r w:rsidR="00A71580" w:rsidRPr="00FB5BC1">
        <w:rPr>
          <w:rFonts w:cs="Times New Roman"/>
        </w:rPr>
        <w:t>autor (</w:t>
      </w:r>
      <w:r w:rsidRPr="00FB5BC1">
        <w:rPr>
          <w:rFonts w:cs="Times New Roman"/>
        </w:rPr>
        <w:t>a) ou autores</w:t>
      </w:r>
      <w:r w:rsidR="00A71580" w:rsidRPr="00FB5BC1">
        <w:rPr>
          <w:rFonts w:cs="Times New Roman"/>
        </w:rPr>
        <w:t xml:space="preserve"> </w:t>
      </w:r>
      <w:r w:rsidRPr="00FB5BC1">
        <w:rPr>
          <w:rFonts w:cs="Times New Roman"/>
        </w:rPr>
        <w:t>(as), grau acadêmico (Doutor, Mestre, Estudante de graduação ou pós-graduação), filiação institucional e e-mail;</w:t>
      </w:r>
    </w:p>
    <w:p w:rsidR="00D944D5" w:rsidRPr="00FB5BC1" w:rsidRDefault="00D944D5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Eixo temático ao que quer incluir a pesquisa;</w:t>
      </w:r>
    </w:p>
    <w:p w:rsidR="00D944D5" w:rsidRPr="00FB5BC1" w:rsidRDefault="00D944D5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Palavras-chave (3 a 5);</w:t>
      </w:r>
    </w:p>
    <w:p w:rsidR="00D944D5" w:rsidRPr="00FB5BC1" w:rsidRDefault="00D944D5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Resumo (máximo de 500 palavras): breve descrição o trabalho indicando estado da arte, enfoque teórico, metodologia e resultados (se houver);</w:t>
      </w:r>
    </w:p>
    <w:p w:rsidR="00D944D5" w:rsidRPr="00FB5BC1" w:rsidRDefault="00D944D5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Título, resumos e palavras-chave traduzidas para o inglês;</w:t>
      </w:r>
    </w:p>
    <w:p w:rsidR="00D944D5" w:rsidRPr="00FB5BC1" w:rsidRDefault="00D944D5" w:rsidP="00FB5B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Bibliografia essencial do estudo (máximo 5 referências).</w:t>
      </w:r>
    </w:p>
    <w:p w:rsidR="00D944D5" w:rsidRPr="00FB5BC1" w:rsidRDefault="00D944D5" w:rsidP="00FB5BC1">
      <w:pPr>
        <w:spacing w:after="0" w:line="240" w:lineRule="auto"/>
        <w:jc w:val="both"/>
        <w:rPr>
          <w:rFonts w:cs="Times New Roman"/>
        </w:rPr>
      </w:pPr>
    </w:p>
    <w:p w:rsidR="00D944D5" w:rsidRPr="00FB5BC1" w:rsidRDefault="00A71580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O comitê científico do congresso poderá sugerir mudanças de categoria de um trabalho, para facilitar a discussão e o enriquecimento temático ou metodológico. Serão aceites até dois trabalhos por autor (es), desde que estejam em diferentes eixos temáticos. Em caso de que uma palestra/artigo seja aceite, só poderão apresentar no congresso aqueles autores descritos na proposta</w:t>
      </w:r>
      <w:r w:rsidR="003D1923" w:rsidRPr="00FB5BC1">
        <w:rPr>
          <w:rFonts w:cs="Times New Roman"/>
        </w:rPr>
        <w:t xml:space="preserve"> de trabalho enviada.</w:t>
      </w:r>
    </w:p>
    <w:p w:rsidR="003D1923" w:rsidRPr="00FB5BC1" w:rsidRDefault="003D1923" w:rsidP="00FB5BC1">
      <w:pPr>
        <w:spacing w:after="0" w:line="240" w:lineRule="auto"/>
        <w:ind w:firstLine="360"/>
        <w:jc w:val="both"/>
        <w:rPr>
          <w:rFonts w:cs="Times New Roman"/>
        </w:rPr>
      </w:pPr>
    </w:p>
    <w:p w:rsidR="003D1923" w:rsidRPr="00FB5BC1" w:rsidRDefault="003D1923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Os resumos devem ser enviados no formato </w:t>
      </w:r>
      <w:r w:rsidRPr="00FB5BC1">
        <w:rPr>
          <w:rFonts w:cs="Times New Roman"/>
          <w:i/>
        </w:rPr>
        <w:t>Word for Windows</w:t>
      </w:r>
      <w:r w:rsidRPr="00FB5BC1">
        <w:rPr>
          <w:rFonts w:cs="Times New Roman"/>
        </w:rPr>
        <w:t xml:space="preserve"> para o e-mail dos coordenadores do congresso, Dr. Rafael del Villar (rdvillar@gmail.com) y Dr. José Miguel Labrín (jmlabrin@uchile.cl), com copia à Presidenta da Associação Chilena de Semiótica, Dra. Elizabeth Parra (elizabeth.parra.ortiz@gmail.com), antes da data de encerramento da chamada.</w:t>
      </w:r>
    </w:p>
    <w:p w:rsidR="00D114B6" w:rsidRPr="00FB5BC1" w:rsidRDefault="00D114B6" w:rsidP="00FB5BC1">
      <w:pPr>
        <w:spacing w:after="0" w:line="240" w:lineRule="auto"/>
        <w:jc w:val="both"/>
        <w:rPr>
          <w:rFonts w:cs="Times New Roman"/>
        </w:rPr>
      </w:pPr>
    </w:p>
    <w:p w:rsidR="00D114B6" w:rsidRDefault="00D114B6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TRABALHOS COMPLETOS</w:t>
      </w:r>
    </w:p>
    <w:p w:rsidR="00D114B6" w:rsidRPr="00FB5BC1" w:rsidRDefault="00205ABE" w:rsidP="00FB5BC1">
      <w:pPr>
        <w:spacing w:after="0" w:line="240" w:lineRule="auto"/>
        <w:jc w:val="both"/>
        <w:rPr>
          <w:rFonts w:cs="Times New Roman"/>
        </w:rPr>
      </w:pPr>
      <w:r w:rsidRPr="00205ABE">
        <w:rPr>
          <w:rFonts w:cs="Times New Roman"/>
        </w:rPr>
        <w:t>Os pesquisadores, cujos resumos são aceitos, podem enviar seus trabalhos completos para publicação no livro de resumos do congresso</w:t>
      </w:r>
      <w:r>
        <w:rPr>
          <w:rFonts w:cs="Times New Roman"/>
        </w:rPr>
        <w:t xml:space="preserve"> </w:t>
      </w:r>
      <w:r w:rsidR="00D114B6" w:rsidRPr="00FB5BC1">
        <w:rPr>
          <w:rFonts w:cs="Times New Roman"/>
        </w:rPr>
        <w:t>seguindo as normas de estrutura, estilo, citação, aspectos gráfico</w:t>
      </w:r>
      <w:r w:rsidR="006F6F4E" w:rsidRPr="00FB5BC1">
        <w:rPr>
          <w:rFonts w:cs="Times New Roman"/>
        </w:rPr>
        <w:t>s</w:t>
      </w:r>
      <w:r w:rsidR="008C747A" w:rsidRPr="00FB5BC1">
        <w:rPr>
          <w:rFonts w:cs="Times New Roman"/>
        </w:rPr>
        <w:t xml:space="preserve"> e extensão que estarão indicada</w:t>
      </w:r>
      <w:r w:rsidR="00D114B6" w:rsidRPr="00FB5BC1">
        <w:rPr>
          <w:rFonts w:cs="Times New Roman"/>
        </w:rPr>
        <w:t xml:space="preserve">s na </w:t>
      </w:r>
      <w:r w:rsidRPr="00205ABE">
        <w:rPr>
          <w:rFonts w:cs="Times New Roman"/>
        </w:rPr>
        <w:t xml:space="preserve">a terceira chamada </w:t>
      </w:r>
      <w:r w:rsidR="00D114B6" w:rsidRPr="00FB5BC1">
        <w:rPr>
          <w:rFonts w:cs="Times New Roman"/>
        </w:rPr>
        <w:t>do congresso.</w:t>
      </w:r>
    </w:p>
    <w:p w:rsidR="006F6F4E" w:rsidRPr="00FB5BC1" w:rsidRDefault="006F6F4E" w:rsidP="00FB5BC1">
      <w:pPr>
        <w:spacing w:after="0" w:line="240" w:lineRule="auto"/>
        <w:jc w:val="both"/>
        <w:rPr>
          <w:rFonts w:cs="Times New Roman"/>
        </w:rPr>
      </w:pPr>
    </w:p>
    <w:p w:rsidR="006F6F4E" w:rsidRPr="00FB5BC1" w:rsidRDefault="006F6F4E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VALORES DE INSCRIÇÃO</w:t>
      </w:r>
    </w:p>
    <w:p w:rsidR="006F6F4E" w:rsidRPr="00FB5BC1" w:rsidRDefault="006F6F4E" w:rsidP="00FB5BC1">
      <w:pPr>
        <w:spacing w:after="0" w:line="240" w:lineRule="auto"/>
        <w:jc w:val="both"/>
        <w:rPr>
          <w:rFonts w:cs="Times New Roman"/>
          <w:b/>
        </w:rPr>
      </w:pPr>
    </w:p>
    <w:p w:rsidR="006F6F4E" w:rsidRPr="00FB5BC1" w:rsidRDefault="006F6F4E" w:rsidP="00FB5B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EXPOSITORES</w:t>
      </w:r>
    </w:p>
    <w:p w:rsidR="006F6F4E" w:rsidRPr="00FB5BC1" w:rsidRDefault="006F6F4E" w:rsidP="00FB5B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Sócios e acadêmicos de universidades organizadoras: 50 mil pesos chilenos;</w:t>
      </w:r>
    </w:p>
    <w:p w:rsidR="006F6F4E" w:rsidRPr="00FB5BC1" w:rsidRDefault="006F6F4E" w:rsidP="00FB5B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Não sócios: 70 mil pesos chilenos;</w:t>
      </w:r>
    </w:p>
    <w:p w:rsidR="006F6F4E" w:rsidRPr="00FB5BC1" w:rsidRDefault="006F6F4E" w:rsidP="00FB5B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Estudantes (de graduação ou pós-graduação): 25 mil pesos chilenos.</w:t>
      </w:r>
    </w:p>
    <w:p w:rsidR="006F6F4E" w:rsidRPr="00FB5BC1" w:rsidRDefault="006F6F4E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6F6F4E" w:rsidP="00FB5B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ASSISTENTES (com direito a certificado): 5 mil pesos chilenos.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  <w:b/>
        </w:rPr>
      </w:pPr>
      <w:r w:rsidRPr="00FB5BC1">
        <w:rPr>
          <w:rFonts w:cs="Times New Roman"/>
          <w:b/>
        </w:rPr>
        <w:t>COMITÊ CIENTÍFICO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As propostas de trabalho serão revisadas por um comitê científico composto por sócios ativos da Associação Chilena de Semiótica e membros da equipe organizadora do congresso: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Dr. César Pacheco Silva 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lastRenderedPageBreak/>
        <w:t xml:space="preserve">Dra. Elizabeth Parra Ortiz 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Dr. Jaime </w:t>
      </w:r>
      <w:proofErr w:type="spellStart"/>
      <w:r w:rsidRPr="00FB5BC1">
        <w:rPr>
          <w:rFonts w:cs="Times New Roman"/>
        </w:rPr>
        <w:t>Otazo</w:t>
      </w:r>
      <w:proofErr w:type="spellEnd"/>
      <w:r w:rsidRPr="00FB5BC1">
        <w:rPr>
          <w:rFonts w:cs="Times New Roman"/>
        </w:rPr>
        <w:t xml:space="preserve"> </w:t>
      </w:r>
      <w:proofErr w:type="spellStart"/>
      <w:r w:rsidRPr="00FB5BC1">
        <w:rPr>
          <w:rFonts w:cs="Times New Roman"/>
        </w:rPr>
        <w:t>Hermosilla</w:t>
      </w:r>
      <w:proofErr w:type="spellEnd"/>
      <w:r w:rsidRPr="00FB5BC1">
        <w:rPr>
          <w:rFonts w:cs="Times New Roman"/>
        </w:rPr>
        <w:t xml:space="preserve"> 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Dra. </w:t>
      </w:r>
      <w:proofErr w:type="spellStart"/>
      <w:r w:rsidRPr="00FB5BC1">
        <w:rPr>
          <w:rFonts w:cs="Times New Roman"/>
        </w:rPr>
        <w:t>María</w:t>
      </w:r>
      <w:proofErr w:type="spellEnd"/>
      <w:r w:rsidRPr="00FB5BC1">
        <w:rPr>
          <w:rFonts w:cs="Times New Roman"/>
        </w:rPr>
        <w:t xml:space="preserve"> Eugenia </w:t>
      </w:r>
      <w:proofErr w:type="spellStart"/>
      <w:r w:rsidRPr="00FB5BC1">
        <w:rPr>
          <w:rFonts w:cs="Times New Roman"/>
        </w:rPr>
        <w:t>Domínguez</w:t>
      </w:r>
      <w:proofErr w:type="spellEnd"/>
      <w:r w:rsidRPr="00FB5BC1">
        <w:rPr>
          <w:rFonts w:cs="Times New Roman"/>
        </w:rPr>
        <w:t xml:space="preserve"> 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Dr. Rafael Del Villar Muñoz 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Dr. Rubén </w:t>
      </w:r>
      <w:proofErr w:type="spellStart"/>
      <w:r w:rsidRPr="00FB5BC1">
        <w:rPr>
          <w:rFonts w:cs="Times New Roman"/>
        </w:rPr>
        <w:t>Dittus</w:t>
      </w:r>
      <w:proofErr w:type="spellEnd"/>
      <w:r w:rsidRPr="00FB5BC1">
        <w:rPr>
          <w:rFonts w:cs="Times New Roman"/>
        </w:rPr>
        <w:t xml:space="preserve"> Benavente 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 xml:space="preserve">Dra. Sandra Meza Fernández </w:t>
      </w:r>
    </w:p>
    <w:p w:rsidR="005A1BC3" w:rsidRPr="00FB5BC1" w:rsidRDefault="00596C24" w:rsidP="00FB5BC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Dr. José Miguel Labrín Elgueta</w:t>
      </w:r>
    </w:p>
    <w:p w:rsidR="00457A63" w:rsidRPr="00FB5BC1" w:rsidRDefault="00457A63" w:rsidP="00FB5BC1">
      <w:pPr>
        <w:spacing w:after="0" w:line="240" w:lineRule="auto"/>
        <w:jc w:val="both"/>
        <w:rPr>
          <w:rFonts w:cs="Times New Roman"/>
        </w:rPr>
      </w:pPr>
    </w:p>
    <w:p w:rsidR="005A1BC3" w:rsidRPr="00FB5BC1" w:rsidRDefault="005A1BC3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  <w:b/>
        </w:rPr>
        <w:t>Traduzido por</w:t>
      </w:r>
      <w:r w:rsidR="002A33A0" w:rsidRPr="00FB5BC1">
        <w:rPr>
          <w:rFonts w:cs="Times New Roman"/>
          <w:b/>
        </w:rPr>
        <w:t>:</w:t>
      </w:r>
      <w:r w:rsidRPr="00FB5BC1">
        <w:rPr>
          <w:rFonts w:cs="Times New Roman"/>
        </w:rPr>
        <w:t xml:space="preserve"> José Felipe Jorge de Oliveira (UEPB)</w:t>
      </w:r>
    </w:p>
    <w:p w:rsidR="00F52934" w:rsidRPr="00FB5BC1" w:rsidRDefault="002A33A0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  <w:b/>
        </w:rPr>
        <w:t>E-mail:</w:t>
      </w:r>
      <w:r w:rsidRPr="00FB5BC1">
        <w:rPr>
          <w:rFonts w:cs="Times New Roman"/>
        </w:rPr>
        <w:t xml:space="preserve"> felipe11jorge@gmail.com</w:t>
      </w:r>
    </w:p>
    <w:p w:rsidR="00F52934" w:rsidRPr="00FB5BC1" w:rsidRDefault="00F52934" w:rsidP="00FB5BC1">
      <w:pPr>
        <w:spacing w:after="0" w:line="240" w:lineRule="auto"/>
        <w:jc w:val="both"/>
        <w:rPr>
          <w:rFonts w:cs="Times New Roman"/>
        </w:rPr>
      </w:pPr>
    </w:p>
    <w:p w:rsidR="00F52934" w:rsidRPr="00FB5BC1" w:rsidRDefault="00F52934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  <w:b/>
          <w:bCs/>
        </w:rPr>
      </w:pPr>
      <w:r w:rsidRPr="00FB5BC1">
        <w:rPr>
          <w:rFonts w:cs="Times New Roman"/>
          <w:b/>
          <w:bCs/>
        </w:rPr>
        <w:t>CONTATO</w:t>
      </w:r>
    </w:p>
    <w:p w:rsidR="00457A63" w:rsidRPr="00FB5BC1" w:rsidRDefault="00457A63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457A63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E-mail dos coorde</w:t>
      </w:r>
      <w:r w:rsidR="0094306E" w:rsidRPr="00FB5BC1">
        <w:rPr>
          <w:rFonts w:cs="Times New Roman"/>
        </w:rPr>
        <w:t>nadores:</w:t>
      </w:r>
    </w:p>
    <w:p w:rsidR="0021588A" w:rsidRPr="00FB5BC1" w:rsidRDefault="0021588A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rdvillar@gmail.com</w:t>
      </w: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jmlabrin@uchile.cl</w:t>
      </w:r>
    </w:p>
    <w:p w:rsidR="00457A63" w:rsidRPr="00FB5BC1" w:rsidRDefault="00457A63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457A63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Sites</w:t>
      </w:r>
      <w:r w:rsidR="0094306E" w:rsidRPr="00FB5BC1">
        <w:rPr>
          <w:rFonts w:cs="Times New Roman"/>
        </w:rPr>
        <w:t xml:space="preserve"> </w:t>
      </w:r>
      <w:r w:rsidRPr="00FB5BC1">
        <w:rPr>
          <w:rFonts w:cs="Times New Roman"/>
        </w:rPr>
        <w:t>das instituições</w:t>
      </w:r>
      <w:r w:rsidR="0094306E" w:rsidRPr="00FB5BC1">
        <w:rPr>
          <w:rFonts w:cs="Times New Roman"/>
        </w:rPr>
        <w:t xml:space="preserve"> organizadoras:</w:t>
      </w:r>
    </w:p>
    <w:p w:rsidR="0021588A" w:rsidRPr="00FB5BC1" w:rsidRDefault="0021588A" w:rsidP="00FB5BC1">
      <w:pPr>
        <w:spacing w:after="0" w:line="240" w:lineRule="auto"/>
        <w:jc w:val="both"/>
        <w:rPr>
          <w:rFonts w:cs="Times New Roman"/>
        </w:rPr>
      </w:pPr>
    </w:p>
    <w:p w:rsidR="0094306E" w:rsidRPr="00FB5BC1" w:rsidRDefault="0094306E" w:rsidP="00FB5BC1">
      <w:pPr>
        <w:spacing w:after="0" w:line="240" w:lineRule="auto"/>
        <w:jc w:val="both"/>
        <w:rPr>
          <w:rFonts w:cs="Times New Roman"/>
        </w:rPr>
      </w:pPr>
      <w:r w:rsidRPr="00FB5BC1">
        <w:rPr>
          <w:rFonts w:cs="Times New Roman"/>
        </w:rPr>
        <w:t>http://www.semiotica.cl/</w:t>
      </w:r>
    </w:p>
    <w:p w:rsidR="0094306E" w:rsidRDefault="00735529" w:rsidP="00FB5BC1">
      <w:pPr>
        <w:spacing w:after="0" w:line="240" w:lineRule="auto"/>
        <w:jc w:val="both"/>
        <w:rPr>
          <w:rFonts w:cs="Times New Roman"/>
        </w:rPr>
      </w:pPr>
      <w:hyperlink r:id="rId9" w:history="1">
        <w:r w:rsidRPr="007F08BA">
          <w:rPr>
            <w:rStyle w:val="Hipervnculo"/>
            <w:rFonts w:cs="Times New Roman"/>
          </w:rPr>
          <w:t>http://www.icei.uchile.cl/</w:t>
        </w:r>
      </w:hyperlink>
    </w:p>
    <w:p w:rsidR="00735529" w:rsidRPr="00735529" w:rsidRDefault="00735529" w:rsidP="00735529">
      <w:pPr>
        <w:spacing w:after="0" w:line="240" w:lineRule="auto"/>
        <w:jc w:val="both"/>
        <w:rPr>
          <w:rFonts w:cs="Times New Roman"/>
          <w:lang w:val="es-MX"/>
        </w:rPr>
      </w:pPr>
      <w:hyperlink r:id="rId10" w:history="1">
        <w:r w:rsidRPr="00735529">
          <w:rPr>
            <w:rStyle w:val="Hipervnculo"/>
            <w:rFonts w:cs="Times New Roman"/>
            <w:lang w:val="es-CL"/>
          </w:rPr>
          <w:t>http://semiotica2019.uchile.cl/index.php</w:t>
        </w:r>
      </w:hyperlink>
    </w:p>
    <w:p w:rsidR="00735529" w:rsidRPr="00FB5BC1" w:rsidRDefault="00735529" w:rsidP="00FB5BC1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sectPr w:rsidR="00735529" w:rsidRPr="00FB5BC1" w:rsidSect="00A94CA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3615"/>
    <w:multiLevelType w:val="hybridMultilevel"/>
    <w:tmpl w:val="A1B06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6E17"/>
    <w:multiLevelType w:val="hybridMultilevel"/>
    <w:tmpl w:val="9392E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433D"/>
    <w:multiLevelType w:val="hybridMultilevel"/>
    <w:tmpl w:val="A0822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4453"/>
    <w:multiLevelType w:val="hybridMultilevel"/>
    <w:tmpl w:val="5D74B31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AB"/>
    <w:rsid w:val="00012FB7"/>
    <w:rsid w:val="00013099"/>
    <w:rsid w:val="00027152"/>
    <w:rsid w:val="000D52E9"/>
    <w:rsid w:val="0010236A"/>
    <w:rsid w:val="00186C88"/>
    <w:rsid w:val="001D14C3"/>
    <w:rsid w:val="001F6650"/>
    <w:rsid w:val="00205ABE"/>
    <w:rsid w:val="00206199"/>
    <w:rsid w:val="0021588A"/>
    <w:rsid w:val="00237C8B"/>
    <w:rsid w:val="002A33A0"/>
    <w:rsid w:val="0033248A"/>
    <w:rsid w:val="003D1923"/>
    <w:rsid w:val="003F15E9"/>
    <w:rsid w:val="00414BE1"/>
    <w:rsid w:val="0043463D"/>
    <w:rsid w:val="00457A63"/>
    <w:rsid w:val="004678E0"/>
    <w:rsid w:val="004718B9"/>
    <w:rsid w:val="004973D8"/>
    <w:rsid w:val="00596C24"/>
    <w:rsid w:val="005A1BC3"/>
    <w:rsid w:val="005C3D3D"/>
    <w:rsid w:val="005D7301"/>
    <w:rsid w:val="00667828"/>
    <w:rsid w:val="006C1C61"/>
    <w:rsid w:val="006D0C36"/>
    <w:rsid w:val="006F6F4E"/>
    <w:rsid w:val="006F7BC2"/>
    <w:rsid w:val="00735529"/>
    <w:rsid w:val="00766781"/>
    <w:rsid w:val="00787223"/>
    <w:rsid w:val="00791559"/>
    <w:rsid w:val="007A30DA"/>
    <w:rsid w:val="007B4333"/>
    <w:rsid w:val="007E66BB"/>
    <w:rsid w:val="008C747A"/>
    <w:rsid w:val="008E12F6"/>
    <w:rsid w:val="0090443C"/>
    <w:rsid w:val="0091287A"/>
    <w:rsid w:val="0092796B"/>
    <w:rsid w:val="0094306E"/>
    <w:rsid w:val="0097187C"/>
    <w:rsid w:val="00993340"/>
    <w:rsid w:val="009B2797"/>
    <w:rsid w:val="009D0C22"/>
    <w:rsid w:val="009E7833"/>
    <w:rsid w:val="009F36B4"/>
    <w:rsid w:val="00A13F13"/>
    <w:rsid w:val="00A6537B"/>
    <w:rsid w:val="00A71580"/>
    <w:rsid w:val="00A93E36"/>
    <w:rsid w:val="00A94CAB"/>
    <w:rsid w:val="00B0149B"/>
    <w:rsid w:val="00B144E5"/>
    <w:rsid w:val="00B57C5D"/>
    <w:rsid w:val="00B63C87"/>
    <w:rsid w:val="00B770F4"/>
    <w:rsid w:val="00B877CB"/>
    <w:rsid w:val="00BE0C75"/>
    <w:rsid w:val="00BE4BEE"/>
    <w:rsid w:val="00C04577"/>
    <w:rsid w:val="00C565E0"/>
    <w:rsid w:val="00C65A21"/>
    <w:rsid w:val="00D114B6"/>
    <w:rsid w:val="00D13802"/>
    <w:rsid w:val="00D74AD4"/>
    <w:rsid w:val="00D944D5"/>
    <w:rsid w:val="00DA069B"/>
    <w:rsid w:val="00DF262F"/>
    <w:rsid w:val="00E07B97"/>
    <w:rsid w:val="00E10CBE"/>
    <w:rsid w:val="00E13786"/>
    <w:rsid w:val="00E4239B"/>
    <w:rsid w:val="00EA1661"/>
    <w:rsid w:val="00F04F57"/>
    <w:rsid w:val="00F52109"/>
    <w:rsid w:val="00F52934"/>
    <w:rsid w:val="00F9100B"/>
    <w:rsid w:val="00FB5BC1"/>
    <w:rsid w:val="00FD5167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5340D37-863A-49A1-8064-EE28787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7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5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A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A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A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A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7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78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miotica2019.uchile.cl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i.uchile.c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E369-E0B6-4AD5-894F-E5C25998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PROFEDELVILLAR</cp:lastModifiedBy>
  <cp:revision>2</cp:revision>
  <dcterms:created xsi:type="dcterms:W3CDTF">2019-06-07T19:10:00Z</dcterms:created>
  <dcterms:modified xsi:type="dcterms:W3CDTF">2019-06-07T19:10:00Z</dcterms:modified>
</cp:coreProperties>
</file>